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4CED" w14:textId="77777777" w:rsidR="00EC72CA" w:rsidRDefault="00EC72CA" w:rsidP="00EC72CA">
      <w:pPr>
        <w:rPr>
          <w:rtl/>
        </w:rPr>
      </w:pPr>
    </w:p>
    <w:p w14:paraId="2D2A1044" w14:textId="77777777" w:rsidR="005466C4" w:rsidRDefault="005466C4" w:rsidP="00EC72CA">
      <w:pPr>
        <w:spacing w:after="0"/>
      </w:pPr>
    </w:p>
    <w:p w14:paraId="7B084C36" w14:textId="77777777" w:rsidR="009D58D3" w:rsidRPr="0053768B" w:rsidRDefault="009D58D3" w:rsidP="009D58D3">
      <w:pPr>
        <w:jc w:val="center"/>
        <w:rPr>
          <w:b/>
          <w:bCs/>
          <w:sz w:val="26"/>
          <w:szCs w:val="26"/>
        </w:rPr>
      </w:pPr>
      <w:r w:rsidRPr="0053768B">
        <w:rPr>
          <w:rFonts w:ascii="Tahoma" w:hAnsi="Tahoma" w:cs="Tahoma"/>
          <w:b/>
          <w:bCs/>
          <w:color w:val="000000"/>
        </w:rPr>
        <w:t>Psychological Thinking in 21st Century Sexuality and Relationships – Global and Israeli aspects</w:t>
      </w:r>
    </w:p>
    <w:p w14:paraId="09AC9C16" w14:textId="51F3F701" w:rsidR="009D58D3" w:rsidRPr="0053768B" w:rsidRDefault="009D58D3" w:rsidP="009D58D3">
      <w:pPr>
        <w:jc w:val="center"/>
      </w:pPr>
      <w:r w:rsidRPr="0053768B">
        <w:rPr>
          <w:b/>
          <w:bCs/>
          <w:sz w:val="26"/>
          <w:szCs w:val="26"/>
        </w:rPr>
        <w:t>Mr. Ilan Tabak Aviram, Ph.D.</w:t>
      </w:r>
    </w:p>
    <w:p w14:paraId="51573DBA" w14:textId="3DECAD31" w:rsidR="00EC72CA" w:rsidRPr="0053768B" w:rsidRDefault="00EC72CA" w:rsidP="00EC72CA">
      <w:pPr>
        <w:spacing w:after="0"/>
        <w:jc w:val="center"/>
        <w:rPr>
          <w:b/>
          <w:bCs/>
          <w:sz w:val="28"/>
          <w:szCs w:val="28"/>
        </w:rPr>
      </w:pPr>
    </w:p>
    <w:p w14:paraId="1AE7F9B7" w14:textId="33EDC5C9" w:rsidR="00EC72CA" w:rsidRPr="0053768B" w:rsidRDefault="00802B51" w:rsidP="00EC72CA">
      <w:pPr>
        <w:pBdr>
          <w:bottom w:val="single" w:sz="4" w:space="1" w:color="auto"/>
        </w:pBdr>
        <w:spacing w:after="0"/>
        <w:jc w:val="center"/>
        <w:rPr>
          <w:b/>
          <w:bCs/>
          <w:sz w:val="28"/>
          <w:szCs w:val="28"/>
        </w:rPr>
      </w:pPr>
      <w:r>
        <w:rPr>
          <w:rFonts w:hint="cs"/>
          <w:b/>
          <w:bCs/>
          <w:sz w:val="28"/>
          <w:szCs w:val="28"/>
        </w:rPr>
        <w:t>F</w:t>
      </w:r>
      <w:r>
        <w:rPr>
          <w:b/>
          <w:bCs/>
          <w:sz w:val="28"/>
          <w:szCs w:val="28"/>
        </w:rPr>
        <w:t>all</w:t>
      </w:r>
      <w:r w:rsidR="009D58D3" w:rsidRPr="0053768B">
        <w:rPr>
          <w:b/>
          <w:bCs/>
          <w:sz w:val="28"/>
          <w:szCs w:val="28"/>
        </w:rPr>
        <w:t xml:space="preserve"> </w:t>
      </w:r>
      <w:r w:rsidR="003B36D6">
        <w:rPr>
          <w:b/>
          <w:bCs/>
          <w:sz w:val="28"/>
          <w:szCs w:val="28"/>
        </w:rPr>
        <w:t>202</w:t>
      </w:r>
      <w:r w:rsidR="009D6EAF">
        <w:rPr>
          <w:b/>
          <w:bCs/>
          <w:sz w:val="28"/>
          <w:szCs w:val="28"/>
        </w:rPr>
        <w:t>6</w:t>
      </w:r>
    </w:p>
    <w:p w14:paraId="50639F98" w14:textId="77777777" w:rsidR="00EC72CA" w:rsidRPr="0053768B" w:rsidRDefault="00EC72CA" w:rsidP="00EC72CA">
      <w:pPr>
        <w:spacing w:after="0"/>
      </w:pPr>
    </w:p>
    <w:p w14:paraId="1A664C9B" w14:textId="77777777" w:rsidR="006F3BFE" w:rsidRDefault="00EC72CA" w:rsidP="003A32AD">
      <w:pPr>
        <w:spacing w:after="0"/>
        <w:rPr>
          <w:b/>
          <w:bCs/>
        </w:rPr>
      </w:pPr>
      <w:r w:rsidRPr="0053768B">
        <w:rPr>
          <w:b/>
          <w:bCs/>
        </w:rPr>
        <w:t>Instructor Contact Information</w:t>
      </w:r>
      <w:r w:rsidR="003A32AD" w:rsidRPr="0053768B">
        <w:rPr>
          <w:b/>
          <w:bCs/>
        </w:rPr>
        <w:t xml:space="preserve"> </w:t>
      </w:r>
    </w:p>
    <w:p w14:paraId="18EE7A50" w14:textId="61959FE3" w:rsidR="00EC72CA" w:rsidRPr="006F3BFE" w:rsidRDefault="0053768B" w:rsidP="003A32AD">
      <w:pPr>
        <w:spacing w:after="0"/>
      </w:pPr>
      <w:r w:rsidRPr="006F3BFE">
        <w:t xml:space="preserve">Email: </w:t>
      </w:r>
      <w:r w:rsidR="009D58D3" w:rsidRPr="006F3BFE">
        <w:t xml:space="preserve"> </w:t>
      </w:r>
      <w:hyperlink r:id="rId7" w:history="1">
        <w:r w:rsidR="009D58D3" w:rsidRPr="006F3BFE">
          <w:rPr>
            <w:rStyle w:val="Hyperlink"/>
            <w:rFonts w:hint="cs"/>
          </w:rPr>
          <w:t>I</w:t>
        </w:r>
        <w:r w:rsidR="009D58D3" w:rsidRPr="006F3BFE">
          <w:rPr>
            <w:rStyle w:val="Hyperlink"/>
          </w:rPr>
          <w:t>lan.aviram@gmail.com</w:t>
        </w:r>
      </w:hyperlink>
      <w:r w:rsidR="009D58D3" w:rsidRPr="006F3BFE">
        <w:t xml:space="preserve"> </w:t>
      </w:r>
      <w:r w:rsidRPr="006F3BFE">
        <w:t xml:space="preserve"> mobile : </w:t>
      </w:r>
      <w:r w:rsidR="009D58D3" w:rsidRPr="006F3BFE">
        <w:t>972-54-8800017</w:t>
      </w:r>
    </w:p>
    <w:p w14:paraId="4A45D232" w14:textId="77777777" w:rsidR="006F3BFE" w:rsidRDefault="006F3BFE" w:rsidP="00EC72CA">
      <w:pPr>
        <w:spacing w:after="0"/>
        <w:rPr>
          <w:b/>
          <w:bCs/>
        </w:rPr>
      </w:pPr>
    </w:p>
    <w:p w14:paraId="5B596057" w14:textId="1549C636" w:rsidR="006F3BFE" w:rsidRDefault="00EC72CA" w:rsidP="00EC72CA">
      <w:pPr>
        <w:spacing w:after="0"/>
        <w:rPr>
          <w:b/>
          <w:bCs/>
        </w:rPr>
      </w:pPr>
      <w:r w:rsidRPr="0053768B">
        <w:rPr>
          <w:b/>
          <w:bCs/>
        </w:rPr>
        <w:t>Out of Class Availability</w:t>
      </w:r>
      <w:r w:rsidR="003A32AD" w:rsidRPr="0053768B">
        <w:rPr>
          <w:b/>
          <w:bCs/>
        </w:rPr>
        <w:t xml:space="preserve"> and Best Ways to Contact</w:t>
      </w:r>
      <w:r w:rsidRPr="0053768B">
        <w:rPr>
          <w:b/>
          <w:bCs/>
        </w:rPr>
        <w:t xml:space="preserve"> </w:t>
      </w:r>
    </w:p>
    <w:p w14:paraId="0FD71EB7" w14:textId="1D2A3674" w:rsidR="00EC72CA" w:rsidRPr="0053768B" w:rsidRDefault="009D58D3" w:rsidP="00802B51">
      <w:pPr>
        <w:spacing w:after="0"/>
      </w:pPr>
      <w:r w:rsidRPr="0053768B">
        <w:t>Please email</w:t>
      </w:r>
      <w:r w:rsidR="0053768B">
        <w:t xml:space="preserve"> the instructor</w:t>
      </w:r>
      <w:r w:rsidRPr="0053768B">
        <w:t xml:space="preserve"> </w:t>
      </w:r>
      <w:r w:rsidR="0053768B">
        <w:t xml:space="preserve">to schedule a </w:t>
      </w:r>
      <w:r w:rsidRPr="0053768B">
        <w:t xml:space="preserve">personal office meeting </w:t>
      </w:r>
      <w:r w:rsidR="0053768B">
        <w:t xml:space="preserve">once </w:t>
      </w:r>
      <w:r w:rsidRPr="0053768B">
        <w:t>needed</w:t>
      </w:r>
      <w:r w:rsidR="0053768B">
        <w:t>.</w:t>
      </w:r>
    </w:p>
    <w:p w14:paraId="49B73A70" w14:textId="77777777" w:rsidR="006F3BFE" w:rsidRDefault="006F3BFE" w:rsidP="00625B4C">
      <w:pPr>
        <w:spacing w:after="0"/>
        <w:rPr>
          <w:b/>
          <w:bCs/>
        </w:rPr>
      </w:pPr>
    </w:p>
    <w:p w14:paraId="4AC2092E" w14:textId="200D9E5B" w:rsidR="00EC72CA" w:rsidRPr="0053768B" w:rsidRDefault="005D638B" w:rsidP="00625B4C">
      <w:pPr>
        <w:spacing w:after="0"/>
        <w:rPr>
          <w:b/>
          <w:bCs/>
        </w:rPr>
      </w:pPr>
      <w:r w:rsidRPr="0053768B">
        <w:rPr>
          <w:b/>
          <w:bCs/>
        </w:rPr>
        <w:t xml:space="preserve">Course Credits: </w:t>
      </w:r>
      <w:r w:rsidR="00F463D2">
        <w:rPr>
          <w:b/>
          <w:bCs/>
        </w:rPr>
        <w:t>3</w:t>
      </w:r>
      <w:r w:rsidRPr="0053768B">
        <w:rPr>
          <w:b/>
          <w:bCs/>
        </w:rPr>
        <w:t xml:space="preserve"> TAU Semester Credits</w:t>
      </w:r>
    </w:p>
    <w:p w14:paraId="072FE48A" w14:textId="77777777" w:rsidR="00625B4C" w:rsidRPr="0053768B" w:rsidRDefault="00625B4C" w:rsidP="003A32AD">
      <w:r w:rsidRPr="0053768B">
        <w:t xml:space="preserve">For course times/days and location, please visit the TAU International web site (Study Abroad Course Offerings and Schedules). Please note that all information below is subject to change </w:t>
      </w:r>
      <w:r w:rsidR="003A32AD" w:rsidRPr="0053768B">
        <w:t>and/or</w:t>
      </w:r>
      <w:r w:rsidRPr="0053768B">
        <w:t xml:space="preserve"> adjustment as necessary. </w:t>
      </w:r>
    </w:p>
    <w:p w14:paraId="535F3A1A" w14:textId="1720F8E7" w:rsidR="00EC72CA" w:rsidRPr="0053768B" w:rsidRDefault="00EC72CA" w:rsidP="00EC72CA">
      <w:pPr>
        <w:spacing w:after="0"/>
        <w:rPr>
          <w:b/>
          <w:bCs/>
        </w:rPr>
      </w:pPr>
      <w:r w:rsidRPr="0053768B">
        <w:rPr>
          <w:b/>
          <w:bCs/>
        </w:rPr>
        <w:t>Course</w:t>
      </w:r>
      <w:r w:rsidR="005D638B" w:rsidRPr="0053768B">
        <w:rPr>
          <w:b/>
          <w:bCs/>
        </w:rPr>
        <w:t xml:space="preserve"> Description</w:t>
      </w:r>
      <w:r w:rsidRPr="0053768B">
        <w:rPr>
          <w:b/>
          <w:bCs/>
        </w:rPr>
        <w:t xml:space="preserve"> </w:t>
      </w:r>
      <w:r w:rsidR="005D638B" w:rsidRPr="0053768B">
        <w:rPr>
          <w:b/>
          <w:bCs/>
        </w:rPr>
        <w:t>(</w:t>
      </w:r>
      <w:r w:rsidRPr="0053768B">
        <w:rPr>
          <w:b/>
          <w:bCs/>
        </w:rPr>
        <w:t>Summary</w:t>
      </w:r>
      <w:r w:rsidR="005D638B" w:rsidRPr="0053768B">
        <w:rPr>
          <w:b/>
          <w:bCs/>
        </w:rPr>
        <w:t>)</w:t>
      </w:r>
      <w:r w:rsidR="0051677A">
        <w:rPr>
          <w:b/>
          <w:bCs/>
        </w:rPr>
        <w:tab/>
      </w:r>
    </w:p>
    <w:p w14:paraId="3FA1612A" w14:textId="4BE24989" w:rsidR="009D58D3" w:rsidRPr="0053768B" w:rsidRDefault="009D58D3" w:rsidP="0053768B">
      <w:r w:rsidRPr="0053768B">
        <w:t xml:space="preserve">Sexuality has been a fundamental core subject in Psychology since the onset of Sigmund Freud's theories of the Instinct and the Oedipus complex, which emphasized the pivotal importance of sexuality in the understanding of human development and behavior. The few last decades have generated dramatic changes in sexual behavior, sexual conceptualizations and social acceptance of sexual differences. These major changes include phenomena such as LGBT rights and new categories of sexual orientation, new definitions of gender identity, artificial reproduction techniques, new family structures, virtual romantic relationships and online dating. All these developments require an updated and refined rephrasing of past concepts and historical psychological theories. </w:t>
      </w:r>
      <w:r w:rsidR="0053768B">
        <w:t xml:space="preserve"> </w:t>
      </w:r>
      <w:r w:rsidRPr="0053768B">
        <w:t>Throughout the</w:t>
      </w:r>
      <w:r w:rsidRPr="0053768B">
        <w:tab/>
        <w:t xml:space="preserve"> semester we will review thoroughly each major development of sexuality in </w:t>
      </w:r>
      <w:proofErr w:type="gramStart"/>
      <w:r w:rsidRPr="0053768B">
        <w:t>the  21</w:t>
      </w:r>
      <w:proofErr w:type="gramEnd"/>
      <w:r w:rsidRPr="0053768B">
        <w:rPr>
          <w:vertAlign w:val="superscript"/>
        </w:rPr>
        <w:t>st</w:t>
      </w:r>
      <w:r w:rsidRPr="0053768B">
        <w:t xml:space="preserve"> century, how it evolved and changed both social and intrapsychic dynamics. We will examine the alterations each transition has imposed on psychological theories and therapy and discuss the possible implications of these changes on the field's future. </w:t>
      </w:r>
      <w:r w:rsidRPr="0053768B">
        <w:rPr>
          <w:i/>
          <w:iCs/>
        </w:rPr>
        <w:t xml:space="preserve">Furthermore, we will focus on Israeli society, as a unique study case of dramatic shifts in social acceptance of diversity in sexuality, fertility treatments and family structures. </w:t>
      </w:r>
      <w:r w:rsidRPr="0053768B">
        <w:t xml:space="preserve"> Our observation of the various topics will involve both guided reading of important academic articles, excerpts from popular culture (such as movies and TV shows) and class discussions and presentations. </w:t>
      </w:r>
    </w:p>
    <w:p w14:paraId="7A0EA1CB" w14:textId="739D9410" w:rsidR="006F3BFE" w:rsidRDefault="006F3BFE">
      <w:r>
        <w:br w:type="page"/>
      </w:r>
    </w:p>
    <w:p w14:paraId="7F462A16" w14:textId="77777777" w:rsidR="003D6955" w:rsidRPr="0053768B" w:rsidRDefault="003D6955" w:rsidP="003D6955">
      <w:pPr>
        <w:spacing w:after="0"/>
        <w:rPr>
          <w:rtl/>
        </w:rPr>
      </w:pPr>
    </w:p>
    <w:p w14:paraId="1E61F3D1" w14:textId="77777777" w:rsidR="005D638B" w:rsidRPr="0053768B" w:rsidRDefault="005D638B" w:rsidP="00EC72CA">
      <w:pPr>
        <w:spacing w:after="0"/>
        <w:rPr>
          <w:b/>
          <w:bCs/>
        </w:rPr>
      </w:pPr>
      <w:r w:rsidRPr="0053768B">
        <w:rPr>
          <w:b/>
          <w:bCs/>
        </w:rPr>
        <w:t>Course Requirements and Expectations</w:t>
      </w:r>
    </w:p>
    <w:p w14:paraId="39E36826" w14:textId="4064FE04" w:rsidR="00943A79" w:rsidRPr="0053768B" w:rsidRDefault="009D58D3" w:rsidP="003B36D6">
      <w:r w:rsidRPr="0053768B">
        <w:rPr>
          <w:i/>
          <w:iCs/>
        </w:rPr>
        <w:t xml:space="preserve">Attendance, </w:t>
      </w:r>
      <w:r w:rsidR="005A2D47" w:rsidRPr="0053768B">
        <w:rPr>
          <w:i/>
          <w:iCs/>
        </w:rPr>
        <w:t>preparation,</w:t>
      </w:r>
      <w:r w:rsidRPr="0053768B">
        <w:rPr>
          <w:i/>
          <w:iCs/>
        </w:rPr>
        <w:t xml:space="preserve"> and classroom participation</w:t>
      </w:r>
      <w:r w:rsidRPr="0053768B">
        <w:t xml:space="preserve">: Students are expected to actively participate in all classes and engage in the classroom’s discussions. A list of readings can be found in the syllabus. Reading is not mandatory but recommended. </w:t>
      </w:r>
    </w:p>
    <w:p w14:paraId="6E4CA62B" w14:textId="2610CAB7" w:rsidR="00D44D5C" w:rsidRDefault="00D44D5C" w:rsidP="00D44D5C">
      <w:pPr>
        <w:rPr>
          <w:i/>
          <w:iCs/>
        </w:rPr>
      </w:pPr>
      <w:r>
        <w:rPr>
          <w:i/>
          <w:iCs/>
        </w:rPr>
        <w:t>Midterm paper</w:t>
      </w:r>
      <w:r w:rsidRPr="0053768B">
        <w:rPr>
          <w:i/>
          <w:iCs/>
        </w:rPr>
        <w:t>:</w:t>
      </w:r>
      <w:r w:rsidRPr="0053768B">
        <w:t xml:space="preserve"> Students are responsible for writing </w:t>
      </w:r>
      <w:r>
        <w:t xml:space="preserve">a midterm paper, which </w:t>
      </w:r>
      <w:r w:rsidRPr="0053768B">
        <w:t xml:space="preserve">should contain a maximum of </w:t>
      </w:r>
      <w:r w:rsidR="004E0C97">
        <w:t>450</w:t>
      </w:r>
      <w:r w:rsidRPr="0053768B">
        <w:t xml:space="preserve"> words</w:t>
      </w:r>
      <w:r>
        <w:t xml:space="preserve">, and </w:t>
      </w:r>
      <w:r w:rsidRPr="0053768B">
        <w:t xml:space="preserve">should reflect the students’ opinions, thoughts, feelings and experiences related to the classes` topics. The </w:t>
      </w:r>
      <w:r>
        <w:t>midterm paper</w:t>
      </w:r>
      <w:r w:rsidRPr="0053768B">
        <w:t xml:space="preserve"> should not give a summary of the </w:t>
      </w:r>
      <w:proofErr w:type="gramStart"/>
      <w:r w:rsidRPr="0053768B">
        <w:t>classes, but</w:t>
      </w:r>
      <w:proofErr w:type="gramEnd"/>
      <w:r w:rsidRPr="0053768B">
        <w:t xml:space="preserve"> rather use the material to explore and reflect on interesting ideas or debates related to the topic. The deadline for </w:t>
      </w:r>
      <w:proofErr w:type="gramStart"/>
      <w:r w:rsidRPr="0053768B">
        <w:t>handing</w:t>
      </w:r>
      <w:proofErr w:type="gramEnd"/>
      <w:r w:rsidRPr="0053768B">
        <w:t xml:space="preserve"> the </w:t>
      </w:r>
      <w:r w:rsidR="005A2D47">
        <w:t xml:space="preserve">midterm </w:t>
      </w:r>
      <w:r w:rsidRPr="0053768B">
        <w:t xml:space="preserve">paper </w:t>
      </w:r>
      <w:r>
        <w:t>is</w:t>
      </w:r>
      <w:r w:rsidR="00DC6A00">
        <w:rPr>
          <w:i/>
          <w:iCs/>
        </w:rPr>
        <w:t xml:space="preserve"> </w:t>
      </w:r>
      <w:r w:rsidR="00137600">
        <w:rPr>
          <w:i/>
          <w:iCs/>
        </w:rPr>
        <w:t>2</w:t>
      </w:r>
      <w:r w:rsidR="00F463D2">
        <w:rPr>
          <w:i/>
          <w:iCs/>
        </w:rPr>
        <w:t>0</w:t>
      </w:r>
      <w:r w:rsidR="00137600">
        <w:rPr>
          <w:i/>
          <w:iCs/>
        </w:rPr>
        <w:t>.11.2</w:t>
      </w:r>
      <w:r w:rsidR="009D6EAF">
        <w:rPr>
          <w:i/>
          <w:iCs/>
        </w:rPr>
        <w:t>6</w:t>
      </w:r>
      <w:r w:rsidR="00137600">
        <w:rPr>
          <w:i/>
          <w:iCs/>
        </w:rPr>
        <w:t>.</w:t>
      </w:r>
    </w:p>
    <w:p w14:paraId="79EC947D" w14:textId="701632FA" w:rsidR="009D58D3" w:rsidRPr="0053768B" w:rsidRDefault="009D58D3" w:rsidP="009D58D3">
      <w:r w:rsidRPr="0053768B">
        <w:rPr>
          <w:i/>
          <w:iCs/>
        </w:rPr>
        <w:t>Final paper</w:t>
      </w:r>
      <w:proofErr w:type="gramStart"/>
      <w:r w:rsidRPr="0053768B">
        <w:rPr>
          <w:i/>
          <w:iCs/>
        </w:rPr>
        <w:t xml:space="preserve">: </w:t>
      </w:r>
      <w:r w:rsidRPr="0053768B">
        <w:rPr>
          <w:b/>
          <w:bCs/>
        </w:rPr>
        <w:t xml:space="preserve"> </w:t>
      </w:r>
      <w:r w:rsidRPr="0053768B">
        <w:t>Submitted</w:t>
      </w:r>
      <w:proofErr w:type="gramEnd"/>
      <w:r w:rsidRPr="0053768B">
        <w:t xml:space="preserve"> </w:t>
      </w:r>
      <w:r w:rsidR="00DB4433">
        <w:t>shortly after the</w:t>
      </w:r>
      <w:r w:rsidRPr="0053768B">
        <w:t xml:space="preserve"> last class of the semester, students will be expected to write a </w:t>
      </w:r>
      <w:r w:rsidR="004E0C97">
        <w:t>2</w:t>
      </w:r>
      <w:r w:rsidRPr="0053768B">
        <w:t xml:space="preserve"> pages </w:t>
      </w:r>
      <w:r w:rsidR="004E0C97">
        <w:t xml:space="preserve">short </w:t>
      </w:r>
      <w:r w:rsidRPr="0053768B">
        <w:t>essay that will include an integration of the course classes material</w:t>
      </w:r>
      <w:r w:rsidR="00D44D5C">
        <w:t>,</w:t>
      </w:r>
      <w:r w:rsidRPr="0053768B">
        <w:t xml:space="preserve"> in addition to the use of academic sources </w:t>
      </w:r>
      <w:proofErr w:type="gramStart"/>
      <w:r w:rsidRPr="0053768B">
        <w:t>in order to</w:t>
      </w:r>
      <w:proofErr w:type="gramEnd"/>
      <w:r w:rsidRPr="0053768B">
        <w:t xml:space="preserve"> present a creative analysis of the topic. The exact instructions for the assignment will be given </w:t>
      </w:r>
      <w:r w:rsidR="008859DA">
        <w:t>2</w:t>
      </w:r>
      <w:r w:rsidRPr="0053768B">
        <w:t xml:space="preserve"> weeks prior to the deadline</w:t>
      </w:r>
      <w:r w:rsidR="00DB4433">
        <w:t xml:space="preserve"> </w:t>
      </w:r>
      <w:r w:rsidR="000C1330">
        <w:t>(</w:t>
      </w:r>
      <w:r w:rsidR="00651E8C">
        <w:t>18</w:t>
      </w:r>
      <w:r w:rsidR="00DB4433">
        <w:t>.12.2</w:t>
      </w:r>
      <w:r w:rsidR="009D6EAF">
        <w:t>6</w:t>
      </w:r>
      <w:r w:rsidR="000C1330">
        <w:t>)</w:t>
      </w:r>
      <w:r w:rsidR="004A2E19">
        <w:t>.</w:t>
      </w:r>
      <w:r w:rsidRPr="0053768B">
        <w:t xml:space="preserve">  </w:t>
      </w:r>
    </w:p>
    <w:p w14:paraId="04098683" w14:textId="05B8AE72" w:rsidR="009D58D3" w:rsidRPr="0053768B" w:rsidRDefault="009D58D3" w:rsidP="009D58D3">
      <w:r w:rsidRPr="0053768B">
        <w:rPr>
          <w:i/>
          <w:iCs/>
        </w:rPr>
        <w:t>General instructions for all papers’ submissions:</w:t>
      </w:r>
      <w:r w:rsidRPr="0053768B">
        <w:rPr>
          <w:b/>
          <w:bCs/>
        </w:rPr>
        <w:t xml:space="preserve"> </w:t>
      </w:r>
      <w:r w:rsidRPr="0053768B">
        <w:t xml:space="preserve"> Please send </w:t>
      </w:r>
      <w:r w:rsidR="00137600">
        <w:t xml:space="preserve">via email to the professor, </w:t>
      </w:r>
      <w:r w:rsidRPr="0053768B">
        <w:t>only WORD documents (*.doc) and not PDF files and name the files as follows: LAST NAME_FIRST NAME_PAPER TITLE_TAU202</w:t>
      </w:r>
      <w:r w:rsidR="009D6EAF">
        <w:t>6</w:t>
      </w:r>
      <w:r w:rsidRPr="0053768B">
        <w:t>(e.g. Scmoe_Joe_</w:t>
      </w:r>
      <w:r w:rsidR="00C301BF">
        <w:t>Midterm</w:t>
      </w:r>
      <w:r w:rsidRPr="0053768B">
        <w:t>_TAU202</w:t>
      </w:r>
      <w:r w:rsidR="009D6EAF">
        <w:t>6</w:t>
      </w:r>
      <w:r w:rsidRPr="0053768B">
        <w:t>)</w:t>
      </w:r>
    </w:p>
    <w:p w14:paraId="2E970DC0" w14:textId="77777777" w:rsidR="005D638B" w:rsidRPr="0053768B" w:rsidRDefault="00230D75" w:rsidP="00EC72CA">
      <w:pPr>
        <w:spacing w:after="0"/>
        <w:rPr>
          <w:b/>
          <w:bCs/>
        </w:rPr>
      </w:pPr>
      <w:r w:rsidRPr="0053768B">
        <w:rPr>
          <w:b/>
          <w:bCs/>
        </w:rPr>
        <w:t>Learning Outcomes</w:t>
      </w:r>
    </w:p>
    <w:p w14:paraId="29BE49DD" w14:textId="77777777" w:rsidR="009D58D3" w:rsidRPr="0053768B" w:rsidRDefault="009D58D3" w:rsidP="006F3BFE">
      <w:pPr>
        <w:numPr>
          <w:ilvl w:val="0"/>
          <w:numId w:val="2"/>
        </w:numPr>
        <w:suppressAutoHyphens/>
        <w:spacing w:after="0" w:line="276" w:lineRule="auto"/>
        <w:ind w:left="714" w:hanging="357"/>
      </w:pPr>
      <w:r w:rsidRPr="0053768B">
        <w:t>Knowledge of core concepts of sexuality and relationships theories.</w:t>
      </w:r>
    </w:p>
    <w:p w14:paraId="04246633" w14:textId="77777777" w:rsidR="009D58D3" w:rsidRPr="0053768B" w:rsidRDefault="009D58D3" w:rsidP="006F3BFE">
      <w:pPr>
        <w:numPr>
          <w:ilvl w:val="0"/>
          <w:numId w:val="2"/>
        </w:numPr>
        <w:suppressAutoHyphens/>
        <w:spacing w:after="0" w:line="276" w:lineRule="auto"/>
        <w:ind w:left="714" w:hanging="357"/>
      </w:pPr>
      <w:r w:rsidRPr="0053768B">
        <w:t xml:space="preserve">Knowledge of current developments in the research and practice of the psychological aspects of sexuality, LGBT studies, Gender, and relationships. </w:t>
      </w:r>
    </w:p>
    <w:p w14:paraId="03716DE0" w14:textId="77777777" w:rsidR="009D58D3" w:rsidRPr="0053768B" w:rsidRDefault="009D58D3" w:rsidP="006F3BFE">
      <w:pPr>
        <w:numPr>
          <w:ilvl w:val="0"/>
          <w:numId w:val="2"/>
        </w:numPr>
        <w:suppressAutoHyphens/>
        <w:spacing w:after="0" w:line="276" w:lineRule="auto"/>
        <w:ind w:left="714" w:hanging="357"/>
      </w:pPr>
      <w:r w:rsidRPr="0053768B">
        <w:t xml:space="preserve">Basic analysis and academic writing skills, relevant for the fields of social sciences. </w:t>
      </w:r>
    </w:p>
    <w:p w14:paraId="7FEE7842" w14:textId="77777777" w:rsidR="00EC72CA" w:rsidRPr="0053768B" w:rsidRDefault="00EC72CA" w:rsidP="006F3BFE">
      <w:pPr>
        <w:spacing w:after="0" w:line="276" w:lineRule="auto"/>
        <w:rPr>
          <w:b/>
          <w:bCs/>
        </w:rPr>
      </w:pPr>
      <w:r w:rsidRPr="0053768B">
        <w:rPr>
          <w:b/>
          <w:bCs/>
        </w:rPr>
        <w:t>Evaluation Criteria</w:t>
      </w:r>
    </w:p>
    <w:p w14:paraId="053AB4EF" w14:textId="1065DED4" w:rsidR="009D58D3" w:rsidRPr="0053768B" w:rsidRDefault="009D58D3" w:rsidP="006F3BFE">
      <w:pPr>
        <w:numPr>
          <w:ilvl w:val="0"/>
          <w:numId w:val="3"/>
        </w:numPr>
        <w:suppressAutoHyphens/>
        <w:spacing w:after="0" w:line="276" w:lineRule="auto"/>
      </w:pPr>
      <w:r w:rsidRPr="0053768B">
        <w:t>Class attendance: 1</w:t>
      </w:r>
      <w:r w:rsidR="00F24E39">
        <w:t>0</w:t>
      </w:r>
      <w:r w:rsidRPr="0053768B">
        <w:t xml:space="preserve">%. </w:t>
      </w:r>
    </w:p>
    <w:p w14:paraId="383BD844" w14:textId="77777777" w:rsidR="009D58D3" w:rsidRPr="0053768B" w:rsidRDefault="009D58D3" w:rsidP="006F3BFE">
      <w:pPr>
        <w:numPr>
          <w:ilvl w:val="0"/>
          <w:numId w:val="3"/>
        </w:numPr>
        <w:suppressAutoHyphens/>
        <w:spacing w:after="0" w:line="276" w:lineRule="auto"/>
      </w:pPr>
      <w:r w:rsidRPr="0053768B">
        <w:t xml:space="preserve">Class participation and involvement: 15%. </w:t>
      </w:r>
    </w:p>
    <w:p w14:paraId="6AE47F51" w14:textId="40F765FE" w:rsidR="009D58D3" w:rsidRDefault="00F24E39" w:rsidP="006F3BFE">
      <w:pPr>
        <w:numPr>
          <w:ilvl w:val="0"/>
          <w:numId w:val="3"/>
        </w:numPr>
        <w:suppressAutoHyphens/>
        <w:spacing w:after="0" w:line="276" w:lineRule="auto"/>
      </w:pPr>
      <w:r>
        <w:t>Midterm paper</w:t>
      </w:r>
      <w:r w:rsidR="009D58D3" w:rsidRPr="0053768B">
        <w:t>: 30%.</w:t>
      </w:r>
    </w:p>
    <w:p w14:paraId="5AF545BA" w14:textId="6049DA88" w:rsidR="009D58D3" w:rsidRPr="0053768B" w:rsidRDefault="009D58D3" w:rsidP="006F3BFE">
      <w:pPr>
        <w:numPr>
          <w:ilvl w:val="0"/>
          <w:numId w:val="3"/>
        </w:numPr>
        <w:suppressAutoHyphens/>
        <w:spacing w:after="0" w:line="276" w:lineRule="auto"/>
      </w:pPr>
      <w:r w:rsidRPr="0053768B">
        <w:t>Final paper: 4</w:t>
      </w:r>
      <w:r w:rsidR="004E0C97">
        <w:t>5</w:t>
      </w:r>
      <w:r w:rsidRPr="0053768B">
        <w:t xml:space="preserve">%. </w:t>
      </w:r>
    </w:p>
    <w:p w14:paraId="62E82D3F" w14:textId="77777777" w:rsidR="003D6955" w:rsidRPr="0053768B" w:rsidRDefault="003D6955" w:rsidP="006F3BFE">
      <w:pPr>
        <w:spacing w:after="0"/>
      </w:pPr>
    </w:p>
    <w:p w14:paraId="001CB902" w14:textId="77777777" w:rsidR="00B113AC" w:rsidRPr="0053768B" w:rsidRDefault="00B113AC" w:rsidP="005D638B">
      <w:pPr>
        <w:spacing w:after="0"/>
        <w:rPr>
          <w:b/>
          <w:bCs/>
        </w:rPr>
      </w:pPr>
      <w:r w:rsidRPr="0053768B">
        <w:rPr>
          <w:b/>
          <w:bCs/>
        </w:rPr>
        <w:t>Absence Policy</w:t>
      </w:r>
    </w:p>
    <w:p w14:paraId="6A82B032" w14:textId="1B66E7CF" w:rsidR="009D58D3" w:rsidRPr="0053768B" w:rsidRDefault="009D58D3" w:rsidP="009D58D3">
      <w:pPr>
        <w:ind w:left="360"/>
      </w:pPr>
      <w:r w:rsidRPr="0053768B">
        <w:t xml:space="preserve">Attendance </w:t>
      </w:r>
      <w:r w:rsidR="003B36D6">
        <w:t xml:space="preserve">in class </w:t>
      </w:r>
      <w:r w:rsidRPr="0053768B">
        <w:t xml:space="preserve">is </w:t>
      </w:r>
      <w:proofErr w:type="gramStart"/>
      <w:r w:rsidRPr="0053768B">
        <w:t>mandatory</w:t>
      </w:r>
      <w:proofErr w:type="gramEnd"/>
      <w:r w:rsidRPr="0053768B">
        <w:t xml:space="preserve"> and attendance will be taken regularly.  Missing classes will be reflected in the final grade of the course. Up to three justified and properly documented absences from classes may be accepted (for example: emergency </w:t>
      </w:r>
      <w:proofErr w:type="gramStart"/>
      <w:r w:rsidRPr="0053768B">
        <w:t>matter</w:t>
      </w:r>
      <w:proofErr w:type="gramEnd"/>
      <w:r w:rsidRPr="0053768B">
        <w:t xml:space="preserve"> or illness, both of which will require a doctor’s note). Such cases of absence should be reported to the instructor </w:t>
      </w:r>
      <w:proofErr w:type="gramStart"/>
      <w:r w:rsidRPr="0053768B">
        <w:t>immediately</w:t>
      </w:r>
      <w:proofErr w:type="gramEnd"/>
      <w:r w:rsidRPr="0053768B">
        <w:t xml:space="preserve"> a doctor’s note is required.</w:t>
      </w:r>
    </w:p>
    <w:p w14:paraId="1F992209" w14:textId="77777777" w:rsidR="00356477" w:rsidRPr="0053768B" w:rsidRDefault="00356477" w:rsidP="00356477">
      <w:pPr>
        <w:spacing w:after="0"/>
        <w:rPr>
          <w:b/>
          <w:bCs/>
        </w:rPr>
      </w:pPr>
      <w:r w:rsidRPr="0053768B">
        <w:rPr>
          <w:b/>
          <w:bCs/>
        </w:rPr>
        <w:t>Course Schedule</w:t>
      </w:r>
    </w:p>
    <w:tbl>
      <w:tblPr>
        <w:tblpPr w:leftFromText="180" w:rightFromText="180" w:vertAnchor="text" w:tblpXSpec="right" w:tblpY="1"/>
        <w:tblOverlap w:val="never"/>
        <w:bidiVisual/>
        <w:tblW w:w="0" w:type="auto"/>
        <w:tblLayout w:type="fixed"/>
        <w:tblLook w:val="0000" w:firstRow="0" w:lastRow="0" w:firstColumn="0" w:lastColumn="0" w:noHBand="0" w:noVBand="0"/>
      </w:tblPr>
      <w:tblGrid>
        <w:gridCol w:w="3131"/>
        <w:gridCol w:w="5164"/>
      </w:tblGrid>
      <w:tr w:rsidR="00356477" w:rsidRPr="0053768B" w14:paraId="755D3CAA"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50BB7548" w14:textId="02B33D38" w:rsidR="00356477" w:rsidRDefault="00356477" w:rsidP="00D126FC">
            <w:pPr>
              <w:spacing w:after="0" w:line="100" w:lineRule="atLeast"/>
            </w:pPr>
            <w:bookmarkStart w:id="0" w:name="_Hlk44343469"/>
            <w:r w:rsidRPr="0053768B">
              <w:t>Meetings 1-</w:t>
            </w:r>
            <w:r w:rsidR="00BE7639">
              <w:t>3</w:t>
            </w:r>
          </w:p>
          <w:p w14:paraId="428F25F8" w14:textId="190904A9" w:rsidR="00356477" w:rsidRPr="0053768B" w:rsidRDefault="00356477" w:rsidP="00D126FC">
            <w:pPr>
              <w:spacing w:after="0" w:line="100" w:lineRule="atLeast"/>
            </w:pPr>
          </w:p>
        </w:tc>
        <w:tc>
          <w:tcPr>
            <w:tcW w:w="5164" w:type="dxa"/>
            <w:tcBorders>
              <w:top w:val="single" w:sz="4" w:space="0" w:color="000000"/>
              <w:left w:val="single" w:sz="4" w:space="0" w:color="000000"/>
              <w:bottom w:val="single" w:sz="4" w:space="0" w:color="000000"/>
              <w:right w:val="single" w:sz="4" w:space="0" w:color="000000"/>
            </w:tcBorders>
          </w:tcPr>
          <w:p w14:paraId="08B07AA2" w14:textId="02780943" w:rsidR="00356477" w:rsidRPr="0053768B" w:rsidRDefault="00356477" w:rsidP="00D126FC">
            <w:pPr>
              <w:spacing w:after="0" w:line="100" w:lineRule="atLeast"/>
              <w:rPr>
                <w:u w:val="single"/>
              </w:rPr>
            </w:pPr>
            <w:r w:rsidRPr="0053768B">
              <w:t>Introduction to Sexuality in Psychology</w:t>
            </w:r>
            <w:proofErr w:type="gramStart"/>
            <w:r w:rsidRPr="0053768B">
              <w:t>:  Review</w:t>
            </w:r>
            <w:proofErr w:type="gramEnd"/>
            <w:r w:rsidRPr="0053768B">
              <w:t xml:space="preserve"> of the core concepts regarding sexuality (Psychoanalysis and Attachment theory)</w:t>
            </w:r>
          </w:p>
        </w:tc>
      </w:tr>
      <w:tr w:rsidR="00356477" w:rsidRPr="0053768B" w14:paraId="14AC010D"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14ED3F38" w14:textId="325EAA2F" w:rsidR="00356477" w:rsidRPr="00F463D2" w:rsidRDefault="00356477" w:rsidP="00D126FC">
            <w:pPr>
              <w:spacing w:after="0" w:line="100" w:lineRule="atLeast"/>
              <w:rPr>
                <w:sz w:val="20"/>
                <w:szCs w:val="20"/>
              </w:rPr>
            </w:pPr>
            <w:r w:rsidRPr="00F463D2">
              <w:rPr>
                <w:szCs w:val="20"/>
              </w:rPr>
              <w:t xml:space="preserve">Meeting </w:t>
            </w:r>
            <w:r w:rsidR="00D126FC">
              <w:rPr>
                <w:szCs w:val="20"/>
              </w:rPr>
              <w:t>4</w:t>
            </w:r>
            <w:r w:rsidRPr="00F463D2">
              <w:rPr>
                <w:sz w:val="20"/>
                <w:szCs w:val="20"/>
              </w:rPr>
              <w:t xml:space="preserve"> </w:t>
            </w:r>
            <w:r w:rsidR="00F463D2">
              <w:rPr>
                <w:sz w:val="20"/>
                <w:szCs w:val="20"/>
              </w:rPr>
              <w:t xml:space="preserve">  6.11.25</w:t>
            </w:r>
          </w:p>
          <w:p w14:paraId="6C9F0BC0" w14:textId="50ED973D" w:rsidR="00356477" w:rsidRPr="0053768B" w:rsidRDefault="00356477" w:rsidP="00D126FC">
            <w:pPr>
              <w:spacing w:after="0" w:line="100" w:lineRule="atLeast"/>
            </w:pPr>
          </w:p>
        </w:tc>
        <w:tc>
          <w:tcPr>
            <w:tcW w:w="5164" w:type="dxa"/>
            <w:tcBorders>
              <w:top w:val="single" w:sz="4" w:space="0" w:color="000000"/>
              <w:left w:val="single" w:sz="4" w:space="0" w:color="000000"/>
              <w:bottom w:val="single" w:sz="4" w:space="0" w:color="000000"/>
              <w:right w:val="single" w:sz="4" w:space="0" w:color="000000"/>
            </w:tcBorders>
          </w:tcPr>
          <w:p w14:paraId="2C92BEBC" w14:textId="77777777" w:rsidR="00356477" w:rsidRPr="0053768B" w:rsidRDefault="00356477" w:rsidP="00D126FC">
            <w:pPr>
              <w:spacing w:after="0" w:line="100" w:lineRule="atLeast"/>
              <w:rPr>
                <w:u w:val="single"/>
              </w:rPr>
            </w:pPr>
            <w:r w:rsidRPr="0053768B">
              <w:lastRenderedPageBreak/>
              <w:t>Evolutionary Psychology of mating and sex</w:t>
            </w:r>
          </w:p>
        </w:tc>
      </w:tr>
      <w:tr w:rsidR="00356477" w:rsidRPr="0053768B" w14:paraId="428FC9A9"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25B0FF87" w14:textId="39FA2DBF" w:rsidR="00356477" w:rsidRDefault="00356477" w:rsidP="00D126FC">
            <w:pPr>
              <w:spacing w:after="0" w:line="100" w:lineRule="atLeast"/>
            </w:pPr>
            <w:r w:rsidRPr="0053768B">
              <w:rPr>
                <w:sz w:val="24"/>
              </w:rPr>
              <w:t xml:space="preserve">Meeting </w:t>
            </w:r>
            <w:r w:rsidR="00D126FC">
              <w:rPr>
                <w:sz w:val="24"/>
              </w:rPr>
              <w:t>5-7</w:t>
            </w:r>
          </w:p>
          <w:p w14:paraId="1247B38A" w14:textId="0A04988C" w:rsidR="00356477" w:rsidRPr="0053768B" w:rsidRDefault="00356477" w:rsidP="00D126FC">
            <w:pPr>
              <w:spacing w:after="0" w:line="100" w:lineRule="atLeast"/>
            </w:pPr>
          </w:p>
        </w:tc>
        <w:tc>
          <w:tcPr>
            <w:tcW w:w="5164" w:type="dxa"/>
            <w:tcBorders>
              <w:top w:val="single" w:sz="4" w:space="0" w:color="000000"/>
              <w:left w:val="single" w:sz="4" w:space="0" w:color="000000"/>
              <w:bottom w:val="single" w:sz="4" w:space="0" w:color="000000"/>
              <w:right w:val="single" w:sz="4" w:space="0" w:color="000000"/>
            </w:tcBorders>
          </w:tcPr>
          <w:p w14:paraId="63BF7246" w14:textId="77777777" w:rsidR="00356477" w:rsidRPr="0053768B" w:rsidRDefault="00356477" w:rsidP="00D126FC">
            <w:pPr>
              <w:spacing w:after="0" w:line="100" w:lineRule="atLeast"/>
              <w:rPr>
                <w:u w:val="single"/>
              </w:rPr>
            </w:pPr>
            <w:r w:rsidRPr="0053768B">
              <w:t>Contemporary Understanding of Gender Identity development</w:t>
            </w:r>
          </w:p>
        </w:tc>
      </w:tr>
      <w:tr w:rsidR="00356477" w:rsidRPr="0053768B" w14:paraId="6B3C00A8"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21383742" w14:textId="1E5C75AB" w:rsidR="00356477" w:rsidRPr="00D17EF5" w:rsidRDefault="005E042A" w:rsidP="00D126FC">
            <w:pPr>
              <w:spacing w:after="0" w:line="100" w:lineRule="atLeast"/>
              <w:rPr>
                <w:i/>
                <w:iCs/>
              </w:rPr>
            </w:pPr>
            <w:r>
              <w:rPr>
                <w:i/>
                <w:iCs/>
              </w:rPr>
              <w:t>2</w:t>
            </w:r>
            <w:r w:rsidR="00F463D2">
              <w:rPr>
                <w:i/>
                <w:iCs/>
              </w:rPr>
              <w:t>0</w:t>
            </w:r>
            <w:r>
              <w:rPr>
                <w:i/>
                <w:iCs/>
              </w:rPr>
              <w:t>.11.2</w:t>
            </w:r>
            <w:r w:rsidR="009D6EAF">
              <w:rPr>
                <w:i/>
                <w:iCs/>
              </w:rPr>
              <w:t>6</w:t>
            </w:r>
          </w:p>
        </w:tc>
        <w:tc>
          <w:tcPr>
            <w:tcW w:w="5164" w:type="dxa"/>
            <w:tcBorders>
              <w:top w:val="single" w:sz="4" w:space="0" w:color="000000"/>
              <w:left w:val="single" w:sz="4" w:space="0" w:color="000000"/>
              <w:bottom w:val="single" w:sz="4" w:space="0" w:color="000000"/>
              <w:right w:val="single" w:sz="4" w:space="0" w:color="000000"/>
            </w:tcBorders>
          </w:tcPr>
          <w:p w14:paraId="04AC90CF" w14:textId="77777777" w:rsidR="00356477" w:rsidRPr="00D17EF5" w:rsidRDefault="00356477" w:rsidP="00D126FC">
            <w:pPr>
              <w:spacing w:after="0" w:line="100" w:lineRule="atLeast"/>
              <w:rPr>
                <w:i/>
                <w:iCs/>
              </w:rPr>
            </w:pPr>
            <w:r w:rsidRPr="00D17EF5">
              <w:rPr>
                <w:i/>
                <w:iCs/>
              </w:rPr>
              <w:t>Midterm paper</w:t>
            </w:r>
            <w:r>
              <w:rPr>
                <w:i/>
                <w:iCs/>
              </w:rPr>
              <w:t xml:space="preserve"> due date</w:t>
            </w:r>
          </w:p>
        </w:tc>
      </w:tr>
      <w:tr w:rsidR="00356477" w:rsidRPr="0053768B" w14:paraId="21044438"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77F2145B" w14:textId="7136B3BA" w:rsidR="00356477" w:rsidRDefault="00356477" w:rsidP="00D126FC">
            <w:pPr>
              <w:spacing w:after="0" w:line="100" w:lineRule="atLeast"/>
            </w:pPr>
            <w:r w:rsidRPr="0053768B">
              <w:t xml:space="preserve">Meeting </w:t>
            </w:r>
            <w:r w:rsidR="00D126FC">
              <w:t>8-10</w:t>
            </w:r>
          </w:p>
          <w:p w14:paraId="1D03D37B" w14:textId="5C1AEA53" w:rsidR="00356477" w:rsidRPr="0053768B" w:rsidRDefault="00356477" w:rsidP="00D126FC">
            <w:pPr>
              <w:spacing w:after="0" w:line="100" w:lineRule="atLeast"/>
            </w:pPr>
          </w:p>
        </w:tc>
        <w:tc>
          <w:tcPr>
            <w:tcW w:w="5164" w:type="dxa"/>
            <w:tcBorders>
              <w:top w:val="single" w:sz="4" w:space="0" w:color="000000"/>
              <w:left w:val="single" w:sz="4" w:space="0" w:color="000000"/>
              <w:bottom w:val="single" w:sz="4" w:space="0" w:color="000000"/>
              <w:right w:val="single" w:sz="4" w:space="0" w:color="000000"/>
            </w:tcBorders>
          </w:tcPr>
          <w:p w14:paraId="36D4E93B" w14:textId="77777777" w:rsidR="00356477" w:rsidRPr="0053768B" w:rsidRDefault="00356477" w:rsidP="00D126FC">
            <w:pPr>
              <w:spacing w:after="0" w:line="100" w:lineRule="atLeast"/>
            </w:pPr>
            <w:r w:rsidRPr="0053768B">
              <w:t>The Psychology of Sexual Orientation – changes in psychological diagnosis and thinking since the LGBT rights movement</w:t>
            </w:r>
          </w:p>
        </w:tc>
      </w:tr>
      <w:tr w:rsidR="00356477" w:rsidRPr="0053768B" w14:paraId="11EA27EC"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3BB9CC45" w14:textId="0EAA48F1" w:rsidR="00356477" w:rsidRDefault="00356477" w:rsidP="00D126FC">
            <w:pPr>
              <w:spacing w:after="0" w:line="100" w:lineRule="atLeast"/>
            </w:pPr>
            <w:r w:rsidRPr="0053768B">
              <w:t xml:space="preserve">Meeting </w:t>
            </w:r>
            <w:r w:rsidR="00D126FC">
              <w:t>11-12</w:t>
            </w:r>
          </w:p>
          <w:p w14:paraId="61DE482F" w14:textId="0F9C5DC1" w:rsidR="00356477" w:rsidRPr="0053768B" w:rsidRDefault="00356477" w:rsidP="00D126FC">
            <w:pPr>
              <w:spacing w:after="0" w:line="100" w:lineRule="atLeast"/>
            </w:pPr>
            <w:r>
              <w:t xml:space="preserve"> </w:t>
            </w:r>
          </w:p>
        </w:tc>
        <w:tc>
          <w:tcPr>
            <w:tcW w:w="5164" w:type="dxa"/>
            <w:tcBorders>
              <w:top w:val="single" w:sz="4" w:space="0" w:color="000000"/>
              <w:left w:val="single" w:sz="4" w:space="0" w:color="000000"/>
              <w:bottom w:val="single" w:sz="4" w:space="0" w:color="000000"/>
              <w:right w:val="single" w:sz="4" w:space="0" w:color="000000"/>
            </w:tcBorders>
          </w:tcPr>
          <w:p w14:paraId="27841A1A" w14:textId="77777777" w:rsidR="00356477" w:rsidRPr="0053768B" w:rsidRDefault="00356477" w:rsidP="00D126FC">
            <w:pPr>
              <w:spacing w:after="0" w:line="100" w:lineRule="atLeast"/>
            </w:pPr>
            <w:r w:rsidRPr="0053768B">
              <w:t xml:space="preserve">Women sexuality revised – between Psychoanalysis and feminism </w:t>
            </w:r>
          </w:p>
        </w:tc>
      </w:tr>
      <w:tr w:rsidR="00D126FC" w:rsidRPr="0053768B" w14:paraId="431BC4AA"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320C5C96" w14:textId="7CC5624B" w:rsidR="00D126FC" w:rsidRPr="0053768B" w:rsidRDefault="00D126FC" w:rsidP="00D126FC">
            <w:pPr>
              <w:spacing w:after="0" w:line="100" w:lineRule="atLeast"/>
            </w:pPr>
            <w:r>
              <w:t xml:space="preserve">Meeting 13  </w:t>
            </w:r>
          </w:p>
        </w:tc>
        <w:tc>
          <w:tcPr>
            <w:tcW w:w="5164" w:type="dxa"/>
            <w:tcBorders>
              <w:top w:val="single" w:sz="4" w:space="0" w:color="000000"/>
              <w:left w:val="single" w:sz="4" w:space="0" w:color="000000"/>
              <w:bottom w:val="single" w:sz="4" w:space="0" w:color="000000"/>
              <w:right w:val="single" w:sz="4" w:space="0" w:color="000000"/>
            </w:tcBorders>
          </w:tcPr>
          <w:p w14:paraId="1F48B385" w14:textId="57219F57" w:rsidR="00D126FC" w:rsidRDefault="00D126FC" w:rsidP="00D126FC">
            <w:pPr>
              <w:spacing w:after="0" w:line="100" w:lineRule="atLeast"/>
            </w:pPr>
            <w:r>
              <w:t>The Masculinity Crisis of the 21</w:t>
            </w:r>
            <w:r w:rsidRPr="00D126FC">
              <w:rPr>
                <w:vertAlign w:val="superscript"/>
              </w:rPr>
              <w:t>st</w:t>
            </w:r>
            <w:r>
              <w:t xml:space="preserve"> century</w:t>
            </w:r>
          </w:p>
        </w:tc>
      </w:tr>
      <w:tr w:rsidR="00356477" w:rsidRPr="0053768B" w14:paraId="6371C12B"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5F0A3F5B" w14:textId="5E862BF4" w:rsidR="00356477" w:rsidRDefault="00356477" w:rsidP="00D126FC">
            <w:pPr>
              <w:spacing w:after="0" w:line="100" w:lineRule="atLeast"/>
            </w:pPr>
            <w:r w:rsidRPr="0053768B">
              <w:t xml:space="preserve">Meeting </w:t>
            </w:r>
            <w:r w:rsidR="00D126FC">
              <w:t>14-15</w:t>
            </w:r>
          </w:p>
          <w:p w14:paraId="272D6FDC" w14:textId="3B58C564" w:rsidR="00356477" w:rsidRPr="0053768B" w:rsidRDefault="00356477" w:rsidP="00D126FC">
            <w:pPr>
              <w:spacing w:after="0" w:line="100" w:lineRule="atLeast"/>
            </w:pPr>
          </w:p>
        </w:tc>
        <w:tc>
          <w:tcPr>
            <w:tcW w:w="5164" w:type="dxa"/>
            <w:tcBorders>
              <w:top w:val="single" w:sz="4" w:space="0" w:color="000000"/>
              <w:left w:val="single" w:sz="4" w:space="0" w:color="000000"/>
              <w:bottom w:val="single" w:sz="4" w:space="0" w:color="000000"/>
              <w:right w:val="single" w:sz="4" w:space="0" w:color="000000"/>
            </w:tcBorders>
          </w:tcPr>
          <w:p w14:paraId="152910AF" w14:textId="77777777" w:rsidR="00356477" w:rsidRPr="0053768B" w:rsidRDefault="00356477" w:rsidP="00D126FC">
            <w:pPr>
              <w:spacing w:after="0" w:line="100" w:lineRule="atLeast"/>
              <w:rPr>
                <w:u w:val="single"/>
              </w:rPr>
            </w:pPr>
            <w:r>
              <w:t>Relationship trends</w:t>
            </w:r>
            <w:r w:rsidRPr="0053768B">
              <w:t xml:space="preserve"> – an updated outlook on relationships and monogamy. </w:t>
            </w:r>
          </w:p>
        </w:tc>
      </w:tr>
      <w:tr w:rsidR="00356477" w:rsidRPr="0053768B" w14:paraId="5FEE269B"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7C04A06A" w14:textId="14BA51AD" w:rsidR="00F463D2" w:rsidRDefault="00F463D2" w:rsidP="00D126FC">
            <w:pPr>
              <w:spacing w:after="0" w:line="100" w:lineRule="atLeast"/>
            </w:pPr>
            <w:r>
              <w:t xml:space="preserve">Meeting </w:t>
            </w:r>
            <w:r w:rsidR="00D126FC">
              <w:t>15</w:t>
            </w:r>
          </w:p>
          <w:p w14:paraId="61885511" w14:textId="579967C4" w:rsidR="00356477" w:rsidRPr="0053768B" w:rsidRDefault="00356477" w:rsidP="00D126FC">
            <w:pPr>
              <w:spacing w:after="0" w:line="100" w:lineRule="atLeast"/>
            </w:pPr>
          </w:p>
        </w:tc>
        <w:tc>
          <w:tcPr>
            <w:tcW w:w="5164" w:type="dxa"/>
            <w:tcBorders>
              <w:top w:val="single" w:sz="4" w:space="0" w:color="000000"/>
              <w:left w:val="single" w:sz="4" w:space="0" w:color="000000"/>
              <w:bottom w:val="single" w:sz="4" w:space="0" w:color="000000"/>
              <w:right w:val="single" w:sz="4" w:space="0" w:color="000000"/>
            </w:tcBorders>
          </w:tcPr>
          <w:p w14:paraId="46345002" w14:textId="77777777" w:rsidR="00356477" w:rsidRPr="0053768B" w:rsidRDefault="00356477" w:rsidP="00D126FC">
            <w:pPr>
              <w:spacing w:after="0" w:line="100" w:lineRule="atLeast"/>
              <w:rPr>
                <w:u w:val="single"/>
              </w:rPr>
            </w:pPr>
            <w:r w:rsidRPr="0053768B">
              <w:t>The Internet, Technology and its Influence on Sexuality and Relationships</w:t>
            </w:r>
          </w:p>
        </w:tc>
      </w:tr>
      <w:tr w:rsidR="00DB1E55" w:rsidRPr="0053768B" w14:paraId="62708360" w14:textId="77777777" w:rsidTr="00D126FC">
        <w:tc>
          <w:tcPr>
            <w:tcW w:w="3131" w:type="dxa"/>
            <w:tcBorders>
              <w:top w:val="single" w:sz="4" w:space="0" w:color="000000"/>
              <w:left w:val="single" w:sz="4" w:space="0" w:color="000000"/>
              <w:bottom w:val="single" w:sz="4" w:space="0" w:color="000000"/>
              <w:right w:val="single" w:sz="4" w:space="0" w:color="000000"/>
            </w:tcBorders>
          </w:tcPr>
          <w:p w14:paraId="313B406B" w14:textId="20B99BC3" w:rsidR="00DB1E55" w:rsidRPr="0095599F" w:rsidRDefault="00651E8C" w:rsidP="00D126FC">
            <w:pPr>
              <w:spacing w:after="0" w:line="100" w:lineRule="atLeast"/>
              <w:rPr>
                <w:i/>
                <w:iCs/>
              </w:rPr>
            </w:pPr>
            <w:r>
              <w:rPr>
                <w:i/>
                <w:iCs/>
              </w:rPr>
              <w:t>18</w:t>
            </w:r>
            <w:r w:rsidR="00DB1E55">
              <w:rPr>
                <w:i/>
                <w:iCs/>
              </w:rPr>
              <w:t>.12.2</w:t>
            </w:r>
            <w:r w:rsidR="009D6EAF">
              <w:rPr>
                <w:i/>
                <w:iCs/>
              </w:rPr>
              <w:t>6</w:t>
            </w:r>
          </w:p>
        </w:tc>
        <w:tc>
          <w:tcPr>
            <w:tcW w:w="5164" w:type="dxa"/>
            <w:tcBorders>
              <w:top w:val="single" w:sz="4" w:space="0" w:color="000000"/>
              <w:left w:val="single" w:sz="4" w:space="0" w:color="000000"/>
              <w:bottom w:val="single" w:sz="4" w:space="0" w:color="000000"/>
              <w:right w:val="single" w:sz="4" w:space="0" w:color="000000"/>
            </w:tcBorders>
          </w:tcPr>
          <w:p w14:paraId="49231885" w14:textId="77777777" w:rsidR="00DB1E55" w:rsidRPr="0095599F" w:rsidRDefault="00DB1E55" w:rsidP="00D126FC">
            <w:pPr>
              <w:spacing w:after="0" w:line="100" w:lineRule="atLeast"/>
              <w:rPr>
                <w:i/>
                <w:iCs/>
              </w:rPr>
            </w:pPr>
            <w:r w:rsidRPr="0095599F">
              <w:rPr>
                <w:i/>
                <w:iCs/>
              </w:rPr>
              <w:t>Final paper due date</w:t>
            </w:r>
          </w:p>
        </w:tc>
      </w:tr>
    </w:tbl>
    <w:bookmarkEnd w:id="0"/>
    <w:p w14:paraId="116CEAA5" w14:textId="75D447A7" w:rsidR="00356477" w:rsidRPr="0053768B" w:rsidRDefault="00D126FC" w:rsidP="00356477">
      <w:r>
        <w:br w:type="textWrapping" w:clear="all"/>
      </w:r>
    </w:p>
    <w:p w14:paraId="1A727D95" w14:textId="77777777" w:rsidR="00356477" w:rsidRPr="0053768B" w:rsidRDefault="00356477" w:rsidP="00356477">
      <w:pPr>
        <w:spacing w:after="0"/>
      </w:pPr>
    </w:p>
    <w:p w14:paraId="3548751A" w14:textId="77777777" w:rsidR="00356477" w:rsidRPr="0053768B" w:rsidRDefault="00356477" w:rsidP="00356477">
      <w:pPr>
        <w:spacing w:after="0"/>
        <w:rPr>
          <w:b/>
          <w:bCs/>
        </w:rPr>
      </w:pPr>
      <w:r w:rsidRPr="0053768B">
        <w:rPr>
          <w:b/>
          <w:bCs/>
        </w:rPr>
        <w:t xml:space="preserve">Course Readings and/or Required Materials </w:t>
      </w:r>
    </w:p>
    <w:tbl>
      <w:tblPr>
        <w:tblpPr w:leftFromText="180" w:rightFromText="180" w:vertAnchor="text" w:tblpXSpec="right" w:tblpY="1"/>
        <w:tblOverlap w:val="never"/>
        <w:bidiVisual/>
        <w:tblW w:w="0" w:type="auto"/>
        <w:tblLayout w:type="fixed"/>
        <w:tblLook w:val="0000" w:firstRow="0" w:lastRow="0" w:firstColumn="0" w:lastColumn="0" w:noHBand="0" w:noVBand="0"/>
      </w:tblPr>
      <w:tblGrid>
        <w:gridCol w:w="3131"/>
        <w:gridCol w:w="5164"/>
      </w:tblGrid>
      <w:tr w:rsidR="00356477" w:rsidRPr="0053768B" w14:paraId="3C591462" w14:textId="77777777" w:rsidTr="00A64033">
        <w:tc>
          <w:tcPr>
            <w:tcW w:w="3131" w:type="dxa"/>
            <w:tcBorders>
              <w:top w:val="single" w:sz="4" w:space="0" w:color="000000"/>
              <w:left w:val="single" w:sz="4" w:space="0" w:color="000000"/>
              <w:bottom w:val="single" w:sz="4" w:space="0" w:color="000000"/>
              <w:right w:val="single" w:sz="4" w:space="0" w:color="000000"/>
            </w:tcBorders>
          </w:tcPr>
          <w:p w14:paraId="37C13439" w14:textId="51CF70DD" w:rsidR="00356477" w:rsidRPr="0053768B" w:rsidRDefault="00356477" w:rsidP="00A64033">
            <w:pPr>
              <w:spacing w:after="0" w:line="100" w:lineRule="atLeast"/>
            </w:pPr>
            <w:r w:rsidRPr="0053768B">
              <w:t>Meetings 1-</w:t>
            </w:r>
            <w:r w:rsidR="00DA3919">
              <w:t>3</w:t>
            </w:r>
          </w:p>
        </w:tc>
        <w:tc>
          <w:tcPr>
            <w:tcW w:w="5164" w:type="dxa"/>
            <w:tcBorders>
              <w:top w:val="single" w:sz="4" w:space="0" w:color="000000"/>
              <w:left w:val="single" w:sz="4" w:space="0" w:color="000000"/>
              <w:bottom w:val="single" w:sz="4" w:space="0" w:color="000000"/>
              <w:right w:val="single" w:sz="4" w:space="0" w:color="000000"/>
            </w:tcBorders>
          </w:tcPr>
          <w:p w14:paraId="09FD3704" w14:textId="77777777" w:rsidR="00356477" w:rsidRPr="0053768B" w:rsidRDefault="00356477" w:rsidP="00A64033">
            <w:pPr>
              <w:spacing w:after="0" w:line="100" w:lineRule="atLeast"/>
            </w:pPr>
            <w:r w:rsidRPr="0053768B">
              <w:t>Freud, S. (1905). Three Essays on the Theory of Sexuality (1905). The Standard Edition of the Complete Psychological Works of Sigmund Freud, Volume VII (1901-1905): A Case of Hysteria, Three Essays on Sexuality and Other Works, 123-246.</w:t>
            </w:r>
          </w:p>
          <w:p w14:paraId="523452CB" w14:textId="77777777" w:rsidR="00356477" w:rsidRPr="0053768B" w:rsidRDefault="00356477" w:rsidP="00A64033">
            <w:pPr>
              <w:spacing w:after="0" w:line="100" w:lineRule="atLeast"/>
            </w:pPr>
          </w:p>
        </w:tc>
      </w:tr>
      <w:tr w:rsidR="00356477" w:rsidRPr="0053768B" w14:paraId="4BCDC682" w14:textId="77777777" w:rsidTr="00A64033">
        <w:tc>
          <w:tcPr>
            <w:tcW w:w="3131" w:type="dxa"/>
            <w:tcBorders>
              <w:top w:val="single" w:sz="4" w:space="0" w:color="000000"/>
              <w:left w:val="single" w:sz="4" w:space="0" w:color="000000"/>
              <w:bottom w:val="single" w:sz="4" w:space="0" w:color="000000"/>
              <w:right w:val="single" w:sz="4" w:space="0" w:color="000000"/>
            </w:tcBorders>
          </w:tcPr>
          <w:p w14:paraId="406FB6E3" w14:textId="401ADA2D" w:rsidR="00356477" w:rsidRPr="0053768B" w:rsidRDefault="00356477" w:rsidP="00A64033">
            <w:pPr>
              <w:spacing w:after="0" w:line="100" w:lineRule="atLeast"/>
            </w:pPr>
            <w:r w:rsidRPr="0053768B">
              <w:rPr>
                <w:sz w:val="24"/>
              </w:rPr>
              <w:t xml:space="preserve">Meeting </w:t>
            </w:r>
            <w:r w:rsidR="00DA3919">
              <w:rPr>
                <w:sz w:val="24"/>
              </w:rPr>
              <w:t>4</w:t>
            </w:r>
          </w:p>
        </w:tc>
        <w:tc>
          <w:tcPr>
            <w:tcW w:w="5164" w:type="dxa"/>
            <w:tcBorders>
              <w:top w:val="single" w:sz="4" w:space="0" w:color="000000"/>
              <w:left w:val="single" w:sz="4" w:space="0" w:color="000000"/>
              <w:bottom w:val="single" w:sz="4" w:space="0" w:color="000000"/>
              <w:right w:val="single" w:sz="4" w:space="0" w:color="000000"/>
            </w:tcBorders>
          </w:tcPr>
          <w:p w14:paraId="18C800A7" w14:textId="77777777" w:rsidR="00356477" w:rsidRPr="0053768B" w:rsidRDefault="00356477" w:rsidP="00A64033">
            <w:pPr>
              <w:spacing w:after="0" w:line="100" w:lineRule="atLeast"/>
            </w:pPr>
            <w:r w:rsidRPr="0053768B">
              <w:t xml:space="preserve">Barkow, J. H., Cosmides, L., &amp; </w:t>
            </w:r>
            <w:proofErr w:type="spellStart"/>
            <w:r w:rsidRPr="0053768B">
              <w:t>Tooby</w:t>
            </w:r>
            <w:proofErr w:type="spellEnd"/>
            <w:r w:rsidRPr="0053768B">
              <w:t>, J. (Eds.). (1992). The psychology of mating and sex, Chapters 5-7, p. 249-327.  The adapted mind: Evolutionary psychology and the generation of culture. New York, NY, US: Oxford University</w:t>
            </w:r>
            <w:r w:rsidRPr="0053768B">
              <w:rPr>
                <w:rFonts w:ascii="Arial" w:hAnsi="Arial" w:cs="Arial"/>
                <w:color w:val="333333"/>
                <w:sz w:val="19"/>
                <w:szCs w:val="19"/>
              </w:rPr>
              <w:t xml:space="preserve"> Press</w:t>
            </w:r>
            <w:r w:rsidRPr="0053768B">
              <w:rPr>
                <w:rFonts w:ascii="Arial" w:hAnsi="Arial" w:cs="Arial"/>
                <w:color w:val="333333"/>
                <w:sz w:val="21"/>
                <w:szCs w:val="21"/>
              </w:rPr>
              <w:t>.</w:t>
            </w:r>
          </w:p>
        </w:tc>
      </w:tr>
      <w:tr w:rsidR="00DA3919" w:rsidRPr="0053768B" w14:paraId="5DF8F9DD" w14:textId="77777777" w:rsidTr="00A64033">
        <w:tc>
          <w:tcPr>
            <w:tcW w:w="3131" w:type="dxa"/>
            <w:tcBorders>
              <w:top w:val="single" w:sz="4" w:space="0" w:color="000000"/>
              <w:left w:val="single" w:sz="4" w:space="0" w:color="000000"/>
              <w:bottom w:val="single" w:sz="4" w:space="0" w:color="000000"/>
              <w:right w:val="single" w:sz="4" w:space="0" w:color="000000"/>
            </w:tcBorders>
          </w:tcPr>
          <w:p w14:paraId="304539C7" w14:textId="221665CD" w:rsidR="00DA3919" w:rsidRPr="0053768B" w:rsidRDefault="00DA3919" w:rsidP="00A64033">
            <w:pPr>
              <w:spacing w:after="0" w:line="100" w:lineRule="atLeast"/>
            </w:pPr>
            <w:r w:rsidRPr="0053768B">
              <w:rPr>
                <w:sz w:val="24"/>
              </w:rPr>
              <w:t xml:space="preserve">Meeting </w:t>
            </w:r>
            <w:r w:rsidR="00A64033">
              <w:rPr>
                <w:sz w:val="24"/>
              </w:rPr>
              <w:t>5-7</w:t>
            </w:r>
          </w:p>
        </w:tc>
        <w:tc>
          <w:tcPr>
            <w:tcW w:w="5164" w:type="dxa"/>
            <w:tcBorders>
              <w:top w:val="single" w:sz="4" w:space="0" w:color="000000"/>
              <w:left w:val="single" w:sz="4" w:space="0" w:color="000000"/>
              <w:bottom w:val="single" w:sz="4" w:space="0" w:color="000000"/>
              <w:right w:val="single" w:sz="4" w:space="0" w:color="000000"/>
            </w:tcBorders>
          </w:tcPr>
          <w:p w14:paraId="31D8DC18" w14:textId="77777777" w:rsidR="00DA3919" w:rsidRPr="0053768B" w:rsidRDefault="00DA3919" w:rsidP="00A64033">
            <w:pPr>
              <w:spacing w:after="0" w:line="100" w:lineRule="atLeast"/>
            </w:pPr>
            <w:proofErr w:type="spellStart"/>
            <w:r w:rsidRPr="0053768B">
              <w:t>Ehrensaft</w:t>
            </w:r>
            <w:proofErr w:type="spellEnd"/>
            <w:r w:rsidRPr="0053768B">
              <w:t xml:space="preserve"> D. (2011). Gender born, gender made: Raising healthy gender nonconforming children. New York, NY: The Experiment. </w:t>
            </w:r>
          </w:p>
          <w:p w14:paraId="67804C59" w14:textId="77777777" w:rsidR="00DA3919" w:rsidRPr="0053768B" w:rsidRDefault="00DA3919" w:rsidP="00A64033">
            <w:pPr>
              <w:spacing w:after="0" w:line="100" w:lineRule="atLeast"/>
            </w:pPr>
            <w:r w:rsidRPr="0053768B">
              <w:t xml:space="preserve">Corbett, K. (2011), Boyhoods, rethinking masculinity, Yale University Press. </w:t>
            </w:r>
          </w:p>
          <w:p w14:paraId="534D77C7" w14:textId="70B0B4D5" w:rsidR="00DA3919" w:rsidRPr="0053768B" w:rsidRDefault="00DA3919" w:rsidP="00A64033">
            <w:pPr>
              <w:spacing w:after="0" w:line="100" w:lineRule="atLeast"/>
            </w:pPr>
          </w:p>
        </w:tc>
      </w:tr>
      <w:tr w:rsidR="00DA3919" w:rsidRPr="0053768B" w14:paraId="15803E2B" w14:textId="77777777" w:rsidTr="00A64033">
        <w:tc>
          <w:tcPr>
            <w:tcW w:w="3131" w:type="dxa"/>
            <w:tcBorders>
              <w:top w:val="single" w:sz="4" w:space="0" w:color="000000"/>
              <w:left w:val="single" w:sz="4" w:space="0" w:color="000000"/>
              <w:bottom w:val="single" w:sz="4" w:space="0" w:color="000000"/>
              <w:right w:val="single" w:sz="4" w:space="0" w:color="000000"/>
            </w:tcBorders>
          </w:tcPr>
          <w:p w14:paraId="339674B1" w14:textId="4B01E307" w:rsidR="00DA3919" w:rsidRPr="0053768B" w:rsidRDefault="00DA3919" w:rsidP="00A64033">
            <w:pPr>
              <w:spacing w:after="0" w:line="100" w:lineRule="atLeast"/>
            </w:pPr>
            <w:r w:rsidRPr="0053768B">
              <w:t xml:space="preserve">Meeting </w:t>
            </w:r>
            <w:r w:rsidR="00A64033">
              <w:t>8-10</w:t>
            </w:r>
          </w:p>
        </w:tc>
        <w:tc>
          <w:tcPr>
            <w:tcW w:w="5164" w:type="dxa"/>
            <w:tcBorders>
              <w:top w:val="single" w:sz="4" w:space="0" w:color="000000"/>
              <w:left w:val="single" w:sz="4" w:space="0" w:color="000000"/>
              <w:bottom w:val="single" w:sz="4" w:space="0" w:color="000000"/>
              <w:right w:val="single" w:sz="4" w:space="0" w:color="000000"/>
            </w:tcBorders>
          </w:tcPr>
          <w:p w14:paraId="4616532D" w14:textId="77777777" w:rsidR="00DA3919" w:rsidRPr="0053768B" w:rsidRDefault="00DA3919" w:rsidP="00A64033">
            <w:pPr>
              <w:spacing w:after="0" w:line="100" w:lineRule="atLeast"/>
            </w:pPr>
            <w:r w:rsidRPr="0053768B">
              <w:t>Jack Drescher (2008). A History of Homosexuality and Organized Psychoanalysis. The Journal of the American Academy of Psychoanalysis and Dynamic Psychiatry: Vol. 36, No. 3, pp. 443-460.</w:t>
            </w:r>
          </w:p>
          <w:p w14:paraId="1BDA01B5" w14:textId="6181D2AB" w:rsidR="00DA3919" w:rsidRPr="0053768B" w:rsidRDefault="00DA3919" w:rsidP="00A64033">
            <w:pPr>
              <w:spacing w:after="0" w:line="100" w:lineRule="atLeast"/>
            </w:pPr>
            <w:r w:rsidRPr="0053768B">
              <w:t>Sand, S. (2017) Chapter 4: How Contemporary Psychoanalysis Contributes to LGBT Psychology, From   LGBT Psychology and mental health: Emerging Research and Advances, edited by Richard Ruth Ph.D., Erik Santacruz Ed.D., Santa Barbara, California, Praeger</w:t>
            </w:r>
          </w:p>
        </w:tc>
      </w:tr>
      <w:tr w:rsidR="00DA3919" w:rsidRPr="0053768B" w14:paraId="3420F61E" w14:textId="77777777" w:rsidTr="00A64033">
        <w:tc>
          <w:tcPr>
            <w:tcW w:w="3131" w:type="dxa"/>
            <w:tcBorders>
              <w:top w:val="single" w:sz="4" w:space="0" w:color="000000"/>
              <w:left w:val="single" w:sz="4" w:space="0" w:color="000000"/>
              <w:bottom w:val="single" w:sz="4" w:space="0" w:color="000000"/>
              <w:right w:val="single" w:sz="4" w:space="0" w:color="000000"/>
            </w:tcBorders>
          </w:tcPr>
          <w:p w14:paraId="73DDC10C" w14:textId="015566CC" w:rsidR="00DA3919" w:rsidRPr="0053768B" w:rsidRDefault="00DA3919" w:rsidP="00A64033">
            <w:pPr>
              <w:spacing w:after="0" w:line="100" w:lineRule="atLeast"/>
            </w:pPr>
            <w:r w:rsidRPr="0053768B">
              <w:lastRenderedPageBreak/>
              <w:t xml:space="preserve">Meeting </w:t>
            </w:r>
            <w:r w:rsidR="00A64033">
              <w:t>11-12</w:t>
            </w:r>
          </w:p>
        </w:tc>
        <w:tc>
          <w:tcPr>
            <w:tcW w:w="5164" w:type="dxa"/>
            <w:tcBorders>
              <w:top w:val="single" w:sz="4" w:space="0" w:color="000000"/>
              <w:left w:val="single" w:sz="4" w:space="0" w:color="000000"/>
              <w:bottom w:val="single" w:sz="4" w:space="0" w:color="000000"/>
              <w:right w:val="single" w:sz="4" w:space="0" w:color="000000"/>
            </w:tcBorders>
          </w:tcPr>
          <w:p w14:paraId="1D43E9DD" w14:textId="77777777" w:rsidR="00DA3919" w:rsidRPr="0053768B" w:rsidRDefault="00DA3919" w:rsidP="00A64033">
            <w:pPr>
              <w:spacing w:after="0" w:line="100" w:lineRule="atLeast"/>
            </w:pPr>
            <w:r w:rsidRPr="0053768B">
              <w:t xml:space="preserve">Benjamin, J. (1980) The Bonds of Love: Rational Violence and Erotic Domination, Feminist Studies, Vol. 6(1), p. 144-174. </w:t>
            </w:r>
          </w:p>
          <w:p w14:paraId="516F8A8B" w14:textId="77777777" w:rsidR="00DA3919" w:rsidRPr="0053768B" w:rsidRDefault="00DA3919" w:rsidP="00A64033">
            <w:pPr>
              <w:spacing w:after="0" w:line="100" w:lineRule="atLeast"/>
            </w:pPr>
            <w:r w:rsidRPr="0053768B">
              <w:t xml:space="preserve">Kamber, </w:t>
            </w:r>
            <w:proofErr w:type="gramStart"/>
            <w:r w:rsidRPr="0053768B">
              <w:t>N.,K</w:t>
            </w:r>
            <w:proofErr w:type="gramEnd"/>
            <w:r w:rsidRPr="0053768B">
              <w:t xml:space="preserve"> (2016). Feminism and Psychoanalysis, The Wiley Blackwell Encyclopedia of Gender and Sexuality Studies, First Edition. John Wiley &amp; Sons, Ltd.</w:t>
            </w:r>
          </w:p>
          <w:p w14:paraId="3F22C65F" w14:textId="77777777" w:rsidR="00DA3919" w:rsidRPr="0053768B" w:rsidRDefault="00DA3919" w:rsidP="00A64033">
            <w:pPr>
              <w:spacing w:after="0" w:line="100" w:lineRule="atLeast"/>
              <w:rPr>
                <w:kern w:val="1"/>
              </w:rPr>
            </w:pPr>
            <w:r w:rsidRPr="0053768B">
              <w:t xml:space="preserve">Levant, R.F. (1996), The new Psychology of Men. Professional </w:t>
            </w:r>
            <w:proofErr w:type="gramStart"/>
            <w:r w:rsidRPr="0053768B">
              <w:t>Psychology :</w:t>
            </w:r>
            <w:proofErr w:type="gramEnd"/>
            <w:r w:rsidRPr="0053768B">
              <w:t xml:space="preserve"> Research and Practice, vol. 27(3), 259-265. </w:t>
            </w:r>
          </w:p>
        </w:tc>
      </w:tr>
      <w:tr w:rsidR="00A64033" w:rsidRPr="0053768B" w14:paraId="57D1B62B" w14:textId="77777777" w:rsidTr="00A64033">
        <w:tc>
          <w:tcPr>
            <w:tcW w:w="3131" w:type="dxa"/>
            <w:tcBorders>
              <w:top w:val="single" w:sz="4" w:space="0" w:color="000000"/>
              <w:left w:val="single" w:sz="4" w:space="0" w:color="000000"/>
              <w:bottom w:val="single" w:sz="4" w:space="0" w:color="000000"/>
              <w:right w:val="single" w:sz="4" w:space="0" w:color="000000"/>
            </w:tcBorders>
          </w:tcPr>
          <w:p w14:paraId="47E4DA41" w14:textId="6AF200C7" w:rsidR="00A64033" w:rsidRPr="0053768B" w:rsidRDefault="00A64033" w:rsidP="00A64033">
            <w:pPr>
              <w:spacing w:after="0" w:line="100" w:lineRule="atLeast"/>
            </w:pPr>
            <w:r>
              <w:t>Meeting 13</w:t>
            </w:r>
          </w:p>
        </w:tc>
        <w:tc>
          <w:tcPr>
            <w:tcW w:w="5164" w:type="dxa"/>
            <w:tcBorders>
              <w:top w:val="single" w:sz="4" w:space="0" w:color="000000"/>
              <w:left w:val="single" w:sz="4" w:space="0" w:color="000000"/>
              <w:bottom w:val="single" w:sz="4" w:space="0" w:color="000000"/>
              <w:right w:val="single" w:sz="4" w:space="0" w:color="000000"/>
            </w:tcBorders>
          </w:tcPr>
          <w:p w14:paraId="185D1D69" w14:textId="2AC3DC32" w:rsidR="00A64033" w:rsidRDefault="00A64033" w:rsidP="00A64033">
            <w:pPr>
              <w:spacing w:after="0" w:line="100" w:lineRule="atLeast"/>
            </w:pPr>
            <w:proofErr w:type="spellStart"/>
            <w:r w:rsidRPr="00A64033">
              <w:t>Balki</w:t>
            </w:r>
            <w:proofErr w:type="spellEnd"/>
            <w:r w:rsidRPr="00A64033">
              <w:t xml:space="preserve"> E. (2025). Are Dating App Algorithms Making Men Lonely and Does This Present a Public Health </w:t>
            </w:r>
            <w:proofErr w:type="gramStart"/>
            <w:r w:rsidRPr="00A64033">
              <w:t>Concern?.</w:t>
            </w:r>
            <w:proofErr w:type="gramEnd"/>
            <w:r w:rsidRPr="00A64033">
              <w:t> </w:t>
            </w:r>
            <w:r w:rsidRPr="00A64033">
              <w:rPr>
                <w:i/>
                <w:iCs/>
              </w:rPr>
              <w:t>JMIR formative research</w:t>
            </w:r>
            <w:r w:rsidRPr="00A64033">
              <w:t>, </w:t>
            </w:r>
            <w:r w:rsidRPr="00A64033">
              <w:rPr>
                <w:i/>
                <w:iCs/>
              </w:rPr>
              <w:t>9</w:t>
            </w:r>
            <w:r w:rsidRPr="00A64033">
              <w:t xml:space="preserve">, e70594. </w:t>
            </w:r>
            <w:hyperlink r:id="rId8" w:history="1">
              <w:r w:rsidRPr="00C73D30">
                <w:rPr>
                  <w:rStyle w:val="Hyperlink"/>
                </w:rPr>
                <w:t>https://doi.org/10.2196/70594</w:t>
              </w:r>
            </w:hyperlink>
          </w:p>
          <w:p w14:paraId="2E06864A" w14:textId="13B3668A" w:rsidR="00A64033" w:rsidRPr="00A64033" w:rsidRDefault="00A64033" w:rsidP="00A64033">
            <w:pPr>
              <w:spacing w:after="0" w:line="100" w:lineRule="atLeast"/>
              <w:rPr>
                <w:lang w:val="pt-BR"/>
              </w:rPr>
            </w:pPr>
            <w:proofErr w:type="spellStart"/>
            <w:r w:rsidRPr="00A64033">
              <w:t>Fraiwan</w:t>
            </w:r>
            <w:proofErr w:type="spellEnd"/>
            <w:r w:rsidRPr="00A64033">
              <w:t xml:space="preserve">, M., Almomani, F., &amp; </w:t>
            </w:r>
            <w:proofErr w:type="spellStart"/>
            <w:r w:rsidRPr="00A64033">
              <w:t>Hammouri</w:t>
            </w:r>
            <w:proofErr w:type="spellEnd"/>
            <w:r w:rsidRPr="00A64033">
              <w:t>, H. (2025). Prevalence and contributing factors of executive cognitive dysfunction symptoms in university students. </w:t>
            </w:r>
            <w:r w:rsidRPr="009D6EAF">
              <w:rPr>
                <w:i/>
                <w:iCs/>
                <w:lang w:val="pt-BR"/>
              </w:rPr>
              <w:t>PloS one</w:t>
            </w:r>
            <w:r w:rsidRPr="009D6EAF">
              <w:rPr>
                <w:lang w:val="pt-BR"/>
              </w:rPr>
              <w:t>, </w:t>
            </w:r>
            <w:r w:rsidRPr="009D6EAF">
              <w:rPr>
                <w:i/>
                <w:iCs/>
                <w:lang w:val="pt-BR"/>
              </w:rPr>
              <w:t>20</w:t>
            </w:r>
            <w:r w:rsidRPr="009D6EAF">
              <w:rPr>
                <w:lang w:val="pt-BR"/>
              </w:rPr>
              <w:t xml:space="preserve">(6), e0323783. </w:t>
            </w:r>
            <w:hyperlink r:id="rId9" w:history="1">
              <w:r w:rsidRPr="00A64033">
                <w:rPr>
                  <w:rStyle w:val="Hyperlink"/>
                  <w:lang w:val="pt-BR"/>
                </w:rPr>
                <w:t>https://doi.org/10.1371/journal.pone.0323783</w:t>
              </w:r>
            </w:hyperlink>
          </w:p>
          <w:p w14:paraId="24C084C2" w14:textId="77777777" w:rsidR="00A64033" w:rsidRDefault="00A64033" w:rsidP="00A64033">
            <w:pPr>
              <w:spacing w:after="0" w:line="100" w:lineRule="atLeast"/>
              <w:rPr>
                <w:i/>
                <w:iCs/>
              </w:rPr>
            </w:pPr>
            <w:r w:rsidRPr="009D6EAF">
              <w:rPr>
                <w:lang w:val="pt-BR"/>
              </w:rPr>
              <w:t xml:space="preserve">Sterritt, J. (2023). </w:t>
            </w:r>
            <w:r w:rsidRPr="009D6EAF">
              <w:rPr>
                <w:rFonts w:ascii="Martel-Regular" w:cs="Martel-Regular"/>
                <w:sz w:val="27"/>
                <w:szCs w:val="27"/>
                <w:lang w:val="pt-BR"/>
              </w:rPr>
              <w:t xml:space="preserve"> </w:t>
            </w:r>
            <w:r w:rsidRPr="00A64033">
              <w:t>Without memory, desire, or sex: contemplating the incel identity</w:t>
            </w:r>
            <w:r>
              <w:t xml:space="preserve">. </w:t>
            </w:r>
            <w:r>
              <w:rPr>
                <w:i/>
                <w:iCs/>
              </w:rPr>
              <w:t xml:space="preserve">The International Journal of Forensic Psychotherapy. </w:t>
            </w:r>
          </w:p>
          <w:p w14:paraId="3195B872" w14:textId="287651F0" w:rsidR="000D0204" w:rsidRPr="000D0204" w:rsidRDefault="000D0204" w:rsidP="000D0204">
            <w:pPr>
              <w:spacing w:after="0" w:line="100" w:lineRule="atLeast"/>
            </w:pPr>
            <w:r w:rsidRPr="009D6EAF">
              <w:t xml:space="preserve">Wojnicka, K., &amp; de Boise, S. (2025). </w:t>
            </w:r>
            <w:r w:rsidRPr="00A64033">
              <w:t xml:space="preserve">Caring Masculinities: Rethinking the Concept. </w:t>
            </w:r>
            <w:r w:rsidRPr="00A64033">
              <w:rPr>
                <w:i/>
                <w:iCs/>
              </w:rPr>
              <w:t>Men and Masculinities</w:t>
            </w:r>
            <w:r w:rsidRPr="00A64033">
              <w:t xml:space="preserve">, </w:t>
            </w:r>
            <w:r w:rsidRPr="00A64033">
              <w:rPr>
                <w:i/>
                <w:iCs/>
              </w:rPr>
              <w:t>28</w:t>
            </w:r>
            <w:r w:rsidRPr="00A64033">
              <w:t xml:space="preserve">(4), 339-358. </w:t>
            </w:r>
            <w:hyperlink r:id="rId10" w:history="1">
              <w:r w:rsidRPr="00A64033">
                <w:rPr>
                  <w:rStyle w:val="Hyperlink"/>
                </w:rPr>
                <w:t>https://doi.org/10.1177/1097184X251327673</w:t>
              </w:r>
            </w:hyperlink>
            <w:r w:rsidRPr="00A64033">
              <w:t xml:space="preserve"> (Original work published 2025)</w:t>
            </w:r>
          </w:p>
        </w:tc>
      </w:tr>
      <w:tr w:rsidR="00DA3919" w:rsidRPr="0053768B" w14:paraId="60ABD5FE" w14:textId="77777777" w:rsidTr="00A64033">
        <w:tc>
          <w:tcPr>
            <w:tcW w:w="3131" w:type="dxa"/>
            <w:tcBorders>
              <w:top w:val="single" w:sz="4" w:space="0" w:color="000000"/>
              <w:left w:val="single" w:sz="4" w:space="0" w:color="000000"/>
              <w:bottom w:val="single" w:sz="4" w:space="0" w:color="000000"/>
              <w:right w:val="single" w:sz="4" w:space="0" w:color="000000"/>
            </w:tcBorders>
          </w:tcPr>
          <w:p w14:paraId="6F8E9AF0" w14:textId="1E22417A" w:rsidR="00DA3919" w:rsidRPr="0053768B" w:rsidRDefault="00DA3919" w:rsidP="00A64033">
            <w:pPr>
              <w:spacing w:after="0" w:line="100" w:lineRule="atLeast"/>
            </w:pPr>
            <w:r w:rsidRPr="0053768B">
              <w:t xml:space="preserve">Meeting </w:t>
            </w:r>
            <w:r>
              <w:t>1</w:t>
            </w:r>
            <w:r w:rsidR="00A64033">
              <w:t>4-15</w:t>
            </w:r>
          </w:p>
        </w:tc>
        <w:tc>
          <w:tcPr>
            <w:tcW w:w="5164" w:type="dxa"/>
            <w:tcBorders>
              <w:top w:val="single" w:sz="4" w:space="0" w:color="000000"/>
              <w:left w:val="single" w:sz="4" w:space="0" w:color="000000"/>
              <w:bottom w:val="single" w:sz="4" w:space="0" w:color="000000"/>
              <w:right w:val="single" w:sz="4" w:space="0" w:color="000000"/>
            </w:tcBorders>
          </w:tcPr>
          <w:p w14:paraId="4CDAD250" w14:textId="635172D0" w:rsidR="00DA3919" w:rsidRPr="0053768B" w:rsidRDefault="00DA3919" w:rsidP="00A64033">
            <w:pPr>
              <w:spacing w:after="0" w:line="100" w:lineRule="atLeast"/>
            </w:pPr>
            <w:r w:rsidRPr="0053768B">
              <w:t>Dow, M. M., &amp; Eff, E. A. (2013). When one wife is enough: A cross-cultural study of the determinants of monogamy. Journal of Social, Evolutionary, and Cultural Psychology, 7(3), 211-238.</w:t>
            </w:r>
          </w:p>
          <w:p w14:paraId="01C31AE9" w14:textId="77777777" w:rsidR="00DA3919" w:rsidRPr="0053768B" w:rsidRDefault="00DA3919" w:rsidP="00A64033">
            <w:pPr>
              <w:spacing w:after="0" w:line="100" w:lineRule="atLeast"/>
            </w:pPr>
            <w:r w:rsidRPr="0053768B">
              <w:t>Barker, M. (2005). This is my partner, and this is my… partner’s partner: Constructing a polyamorous identity in a monogamous world. Journal of Constructivist Psychology, 18, 75–88.</w:t>
            </w:r>
          </w:p>
          <w:p w14:paraId="34EC19F0" w14:textId="77777777" w:rsidR="00DA3919" w:rsidRPr="0053768B" w:rsidRDefault="00DA3919" w:rsidP="00A64033">
            <w:pPr>
              <w:spacing w:after="0" w:line="100" w:lineRule="atLeast"/>
            </w:pPr>
          </w:p>
        </w:tc>
      </w:tr>
      <w:tr w:rsidR="00DA3919" w:rsidRPr="0053768B" w14:paraId="4C6ECA27" w14:textId="77777777" w:rsidTr="00A64033">
        <w:tc>
          <w:tcPr>
            <w:tcW w:w="3131" w:type="dxa"/>
            <w:tcBorders>
              <w:top w:val="single" w:sz="4" w:space="0" w:color="000000"/>
              <w:left w:val="single" w:sz="4" w:space="0" w:color="000000"/>
              <w:bottom w:val="single" w:sz="4" w:space="0" w:color="000000"/>
              <w:right w:val="single" w:sz="4" w:space="0" w:color="000000"/>
            </w:tcBorders>
          </w:tcPr>
          <w:p w14:paraId="3B3D5EE5" w14:textId="77777777" w:rsidR="00DA3919" w:rsidRPr="0053768B" w:rsidRDefault="00DA3919" w:rsidP="00A64033">
            <w:pPr>
              <w:spacing w:after="0" w:line="100" w:lineRule="atLeast"/>
            </w:pPr>
            <w:r w:rsidRPr="0053768B">
              <w:t>Meeting 16</w:t>
            </w:r>
          </w:p>
        </w:tc>
        <w:tc>
          <w:tcPr>
            <w:tcW w:w="5164" w:type="dxa"/>
            <w:tcBorders>
              <w:top w:val="single" w:sz="4" w:space="0" w:color="000000"/>
              <w:left w:val="single" w:sz="4" w:space="0" w:color="000000"/>
              <w:bottom w:val="single" w:sz="4" w:space="0" w:color="000000"/>
              <w:right w:val="single" w:sz="4" w:space="0" w:color="000000"/>
            </w:tcBorders>
          </w:tcPr>
          <w:p w14:paraId="3C6E4711" w14:textId="77777777" w:rsidR="00DA3919" w:rsidRPr="0053768B" w:rsidRDefault="00DA3919" w:rsidP="00A64033">
            <w:pPr>
              <w:spacing w:after="0" w:line="100" w:lineRule="atLeast"/>
            </w:pPr>
            <w:r w:rsidRPr="0053768B">
              <w:t>Turkle, S. (1997</w:t>
            </w:r>
            <w:proofErr w:type="gramStart"/>
            <w:r w:rsidRPr="0053768B">
              <w:t>) .</w:t>
            </w:r>
            <w:proofErr w:type="gramEnd"/>
            <w:r w:rsidRPr="0053768B">
              <w:t xml:space="preserve"> Life on the screen – Identity in the age of Internet. Simon and Schuster. </w:t>
            </w:r>
          </w:p>
          <w:p w14:paraId="6DA922C7" w14:textId="77777777" w:rsidR="00DA3919" w:rsidRPr="0053768B" w:rsidRDefault="00DA3919" w:rsidP="00A64033">
            <w:pPr>
              <w:spacing w:after="0" w:line="100" w:lineRule="atLeast"/>
            </w:pPr>
            <w:r w:rsidRPr="0053768B">
              <w:t xml:space="preserve"> Timmermans, E. &amp; De </w:t>
            </w:r>
            <w:proofErr w:type="spellStart"/>
            <w:r w:rsidRPr="0053768B">
              <w:t>Caluwe</w:t>
            </w:r>
            <w:proofErr w:type="spellEnd"/>
            <w:r w:rsidRPr="0053768B">
              <w:t xml:space="preserve">, E., (2017), To Tinder or not to Tinder, that's the question: An individual differences perspective to Tinder use and motives, Personality and Individual Differences (110), 74-79. </w:t>
            </w:r>
          </w:p>
          <w:p w14:paraId="0CA810B3" w14:textId="77777777" w:rsidR="00DA3919" w:rsidRPr="0053768B" w:rsidRDefault="00DA3919" w:rsidP="00A64033">
            <w:pPr>
              <w:spacing w:after="0" w:line="100" w:lineRule="atLeast"/>
            </w:pPr>
            <w:r w:rsidRPr="0053768B">
              <w:t>Ben-Ze'ev, A. (2004) Love Online: emotions and the internet, Cambridge University Press.</w:t>
            </w:r>
          </w:p>
          <w:p w14:paraId="269565CA" w14:textId="77777777" w:rsidR="00DA3919" w:rsidRPr="0053768B" w:rsidRDefault="00DA3919" w:rsidP="00A64033">
            <w:pPr>
              <w:spacing w:after="0" w:line="100" w:lineRule="atLeast"/>
            </w:pPr>
          </w:p>
        </w:tc>
      </w:tr>
    </w:tbl>
    <w:p w14:paraId="08C9C4A4" w14:textId="2336B173" w:rsidR="00EC72CA" w:rsidRPr="0053768B" w:rsidRDefault="00A64033" w:rsidP="00EC72CA">
      <w:pPr>
        <w:spacing w:after="0"/>
      </w:pPr>
      <w:r>
        <w:br w:type="textWrapping" w:clear="all"/>
      </w:r>
    </w:p>
    <w:p w14:paraId="27FBAB1F" w14:textId="77777777" w:rsidR="00DA3919" w:rsidRDefault="00DA3919">
      <w:pPr>
        <w:rPr>
          <w:b/>
          <w:bCs/>
        </w:rPr>
      </w:pPr>
      <w:r>
        <w:rPr>
          <w:b/>
          <w:bCs/>
        </w:rPr>
        <w:br w:type="page"/>
      </w:r>
    </w:p>
    <w:p w14:paraId="1335AB2C" w14:textId="0A48DAB9" w:rsidR="00230D75" w:rsidRPr="0053768B" w:rsidRDefault="00230D75" w:rsidP="00B113AC">
      <w:pPr>
        <w:spacing w:after="0"/>
        <w:rPr>
          <w:b/>
          <w:bCs/>
        </w:rPr>
      </w:pPr>
      <w:r w:rsidRPr="0053768B">
        <w:rPr>
          <w:b/>
          <w:bCs/>
        </w:rPr>
        <w:lastRenderedPageBreak/>
        <w:t xml:space="preserve">Instructor Biography </w:t>
      </w:r>
    </w:p>
    <w:p w14:paraId="6CDD9274" w14:textId="77777777" w:rsidR="0053768B" w:rsidRPr="0053768B" w:rsidRDefault="0053768B" w:rsidP="0053768B">
      <w:r w:rsidRPr="0053768B">
        <w:t xml:space="preserve">Dr. Tabak-Aviram is an experienced licensed clinical psychologist in Israel, practicing over 15 years with children, adults, couples and families. Dr. Tabak-Aviram has been specializing with preschool children and their parents in a community mental health Centre in Tel-Aviv.  During the past decade Dr. Tabak-Aviram’s focus of work has been with LGBT individuals, couples, and families. Additionally, he has developed both group and individual counseling frameworks for prospective parents in the process of parenthood through ART. Dr. Tabak-Aviram has been working in both public clinics, supervising psychology interns and in his own private practice in Ramat-Hasharon. He has been an active speaker for LGBT families and gender creative children in front of mental health professionals, social workers and medical staff members all over Israel. </w:t>
      </w:r>
    </w:p>
    <w:p w14:paraId="24758CE2" w14:textId="12B10B4E" w:rsidR="005D638B" w:rsidRPr="0053768B" w:rsidRDefault="0053768B" w:rsidP="0053768B">
      <w:pPr>
        <w:spacing w:after="0"/>
        <w:rPr>
          <w:rFonts w:cstheme="minorHAnsi"/>
          <w:b/>
          <w:bCs/>
        </w:rPr>
      </w:pPr>
      <w:r w:rsidRPr="0053768B">
        <w:rPr>
          <w:rFonts w:cstheme="minorHAnsi"/>
          <w:b/>
          <w:bCs/>
        </w:rPr>
        <w:t xml:space="preserve"> </w:t>
      </w:r>
      <w:r w:rsidR="005D638B" w:rsidRPr="0053768B">
        <w:rPr>
          <w:rFonts w:cstheme="minorHAnsi"/>
          <w:b/>
          <w:bCs/>
        </w:rPr>
        <w:t>TAU International Academic Guidelines</w:t>
      </w:r>
    </w:p>
    <w:p w14:paraId="4CAA8AA6" w14:textId="77777777" w:rsidR="005D638B" w:rsidRPr="0053768B" w:rsidRDefault="00951E16" w:rsidP="00951E16">
      <w:pPr>
        <w:spacing w:after="0"/>
        <w:rPr>
          <w:rFonts w:cstheme="minorHAnsi"/>
        </w:rPr>
      </w:pPr>
      <w:r w:rsidRPr="0053768B">
        <w:rPr>
          <w:rFonts w:cstheme="minorHAnsi"/>
        </w:rPr>
        <w:t xml:space="preserve">Students may only attend classes which they are officially registered for. No auditing of courses is permitted. </w:t>
      </w:r>
      <w:r w:rsidR="005D638B" w:rsidRPr="0053768B">
        <w:rPr>
          <w:rFonts w:cstheme="minorHAnsi"/>
        </w:rPr>
        <w:t xml:space="preserve">Students are responsible for reading and adhering to all policies and procedures in the TAU International Academic Handbook </w:t>
      </w:r>
      <w:hyperlink r:id="rId11" w:history="1">
        <w:r w:rsidR="005D638B" w:rsidRPr="0053768B">
          <w:rPr>
            <w:rStyle w:val="Hyperlink"/>
            <w:rFonts w:cstheme="minorHAnsi"/>
          </w:rPr>
          <w:t>posted here</w:t>
        </w:r>
      </w:hyperlink>
      <w:r w:rsidR="005D638B" w:rsidRPr="0053768B">
        <w:rPr>
          <w:rFonts w:cstheme="minorHAnsi"/>
        </w:rPr>
        <w:t xml:space="preserve"> at all times. Below is a summary of some of these </w:t>
      </w:r>
      <w:r w:rsidRPr="0053768B">
        <w:rPr>
          <w:rFonts w:cstheme="minorHAnsi"/>
        </w:rPr>
        <w:t xml:space="preserve">relevant </w:t>
      </w:r>
      <w:r w:rsidR="005D638B" w:rsidRPr="0053768B">
        <w:rPr>
          <w:rFonts w:cstheme="minorHAnsi"/>
        </w:rPr>
        <w:t>policies and procedures</w:t>
      </w:r>
      <w:r w:rsidRPr="0053768B">
        <w:rPr>
          <w:rFonts w:cstheme="minorHAnsi"/>
        </w:rPr>
        <w:t>.</w:t>
      </w:r>
    </w:p>
    <w:p w14:paraId="69AAFA90" w14:textId="77777777" w:rsidR="00C73B81" w:rsidRDefault="00C73B81">
      <w:pPr>
        <w:rPr>
          <w:rFonts w:cstheme="minorHAnsi"/>
        </w:rPr>
      </w:pPr>
      <w:r>
        <w:rPr>
          <w:rFonts w:cstheme="minorHAnsi"/>
        </w:rPr>
        <w:br w:type="page"/>
      </w:r>
    </w:p>
    <w:p w14:paraId="4DAFC7B3" w14:textId="77777777" w:rsidR="00C73B81" w:rsidRDefault="00C73B81" w:rsidP="005D638B">
      <w:pPr>
        <w:spacing w:after="0"/>
        <w:rPr>
          <w:rFonts w:cstheme="minorHAnsi"/>
          <w:b/>
          <w:bCs/>
        </w:rPr>
      </w:pPr>
    </w:p>
    <w:p w14:paraId="22AF57A8" w14:textId="5F5B53EE" w:rsidR="005D638B" w:rsidRPr="0053768B" w:rsidRDefault="005D638B" w:rsidP="005D638B">
      <w:pPr>
        <w:spacing w:after="0"/>
        <w:rPr>
          <w:rFonts w:eastAsia="Times New Roman" w:cstheme="minorHAnsi"/>
          <w:b/>
          <w:bCs/>
        </w:rPr>
      </w:pPr>
      <w:r w:rsidRPr="0053768B">
        <w:rPr>
          <w:rFonts w:cstheme="minorHAnsi"/>
          <w:b/>
          <w:bCs/>
        </w:rPr>
        <w:t>Learning Accommodations</w:t>
      </w:r>
    </w:p>
    <w:p w14:paraId="3BC28E2A" w14:textId="77777777" w:rsidR="005D638B" w:rsidRPr="0053768B" w:rsidRDefault="005D638B" w:rsidP="00B113AC">
      <w:pPr>
        <w:spacing w:after="0"/>
        <w:rPr>
          <w:rFonts w:eastAsia="Calibri" w:cstheme="minorHAnsi"/>
        </w:rPr>
      </w:pPr>
      <w:r w:rsidRPr="0053768B">
        <w:rPr>
          <w:rFonts w:eastAsia="Calibri" w:cstheme="minorHAnsi"/>
        </w:rPr>
        <w:t xml:space="preserve">In accordance </w:t>
      </w:r>
      <w:proofErr w:type="gramStart"/>
      <w:r w:rsidRPr="0053768B">
        <w:rPr>
          <w:rFonts w:eastAsia="Calibri" w:cstheme="minorHAnsi"/>
        </w:rPr>
        <w:t>to</w:t>
      </w:r>
      <w:proofErr w:type="gramEnd"/>
      <w:r w:rsidRPr="0053768B">
        <w:rPr>
          <w:rFonts w:eastAsia="Calibri" w:cstheme="minorHAnsi"/>
        </w:rPr>
        <w:t xml:space="preserve"> University guidelines, TAU International may be able to accommodate students with learning disabilities or accommodation requests if these requests are also honored at the student’s home university or home school. To be considered, students must submit official documentation from their home school or university (if not in English,</w:t>
      </w:r>
      <w:r w:rsidR="00B113AC" w:rsidRPr="0053768B">
        <w:rPr>
          <w:rFonts w:eastAsia="Calibri" w:cstheme="minorHAnsi"/>
        </w:rPr>
        <w:t xml:space="preserve"> a notarized official copy</w:t>
      </w:r>
      <w:r w:rsidRPr="0053768B">
        <w:rPr>
          <w:rFonts w:eastAsia="Calibri" w:cstheme="minorHAnsi"/>
        </w:rPr>
        <w:t xml:space="preserve"> translated into English</w:t>
      </w:r>
      <w:r w:rsidR="00B113AC" w:rsidRPr="0053768B">
        <w:rPr>
          <w:rFonts w:eastAsia="Calibri" w:cstheme="minorHAnsi"/>
        </w:rPr>
        <w:t xml:space="preserve"> is required</w:t>
      </w:r>
      <w:r w:rsidRPr="0053768B">
        <w:rPr>
          <w:rFonts w:eastAsia="Calibri" w:cstheme="minorHAnsi"/>
        </w:rPr>
        <w:t xml:space="preserve">) to TAU International in advance of arrival describing in detail any specific needs and how these are accommodated at the home school or university. Students must also bring a copy of this documentation with them on-site and give it to their faculty on the first day of class while introducing themselves so that the faculty know who they are and what sorts of needs or </w:t>
      </w:r>
      <w:proofErr w:type="gramStart"/>
      <w:r w:rsidRPr="0053768B">
        <w:rPr>
          <w:rFonts w:eastAsia="Calibri" w:cstheme="minorHAnsi"/>
        </w:rPr>
        <w:t>accommodations</w:t>
      </w:r>
      <w:proofErr w:type="gramEnd"/>
      <w:r w:rsidRPr="0053768B">
        <w:rPr>
          <w:rFonts w:eastAsia="Calibri" w:cstheme="minorHAnsi"/>
        </w:rPr>
        <w:t xml:space="preserve"> they may have. </w:t>
      </w:r>
      <w:r w:rsidRPr="0053768B">
        <w:rPr>
          <w:rFonts w:eastAsia="Calibri" w:cstheme="minorHAnsi"/>
          <w:b/>
          <w:bCs/>
          <w:u w:val="single"/>
        </w:rPr>
        <w:t>Without official documentation from the home school submitted on or before the first day of courses, TAU will not be able to honor accommodation support.</w:t>
      </w:r>
      <w:r w:rsidRPr="0053768B">
        <w:rPr>
          <w:rFonts w:eastAsia="Calibri" w:cstheme="minorHAnsi"/>
        </w:rPr>
        <w:t xml:space="preserve"> </w:t>
      </w:r>
    </w:p>
    <w:p w14:paraId="31D4BBB3" w14:textId="77777777" w:rsidR="005D638B" w:rsidRPr="0053768B" w:rsidRDefault="005D638B" w:rsidP="005D638B">
      <w:pPr>
        <w:spacing w:after="0"/>
        <w:rPr>
          <w:rFonts w:eastAsia="Calibri" w:cstheme="minorHAnsi"/>
        </w:rPr>
      </w:pPr>
    </w:p>
    <w:p w14:paraId="49317EB8" w14:textId="77777777" w:rsidR="005D638B" w:rsidRPr="0053768B" w:rsidRDefault="005D638B" w:rsidP="00D43BD0">
      <w:pPr>
        <w:rPr>
          <w:rFonts w:eastAsia="Calibri" w:cstheme="minorHAnsi"/>
        </w:rPr>
      </w:pPr>
      <w:r w:rsidRPr="0053768B">
        <w:rPr>
          <w:rFonts w:eastAsia="Calibri" w:cstheme="minorHAnsi"/>
        </w:rPr>
        <w:t>With supporting documentation</w:t>
      </w:r>
      <w:r w:rsidR="00C6125F" w:rsidRPr="0053768B">
        <w:rPr>
          <w:rFonts w:eastAsia="Calibri" w:cstheme="minorHAnsi"/>
        </w:rPr>
        <w:t xml:space="preserve"> and by following the correct procedure as outlined above</w:t>
      </w:r>
      <w:r w:rsidRPr="0053768B">
        <w:rPr>
          <w:rFonts w:eastAsia="Calibri" w:cstheme="minorHAnsi"/>
        </w:rPr>
        <w:t xml:space="preserve">, TAU International and its faculty </w:t>
      </w:r>
      <w:r w:rsidR="00D43BD0" w:rsidRPr="0053768B">
        <w:rPr>
          <w:rFonts w:eastAsia="Calibri" w:cstheme="minorHAnsi"/>
        </w:rPr>
        <w:t xml:space="preserve">will do </w:t>
      </w:r>
      <w:r w:rsidRPr="0053768B">
        <w:rPr>
          <w:rFonts w:eastAsia="Calibri" w:cstheme="minorHAnsi"/>
        </w:rPr>
        <w:t xml:space="preserve">the best it can to make any suitable </w:t>
      </w:r>
      <w:proofErr w:type="gramStart"/>
      <w:r w:rsidRPr="0053768B">
        <w:rPr>
          <w:rFonts w:eastAsia="Calibri" w:cstheme="minorHAnsi"/>
        </w:rPr>
        <w:t>accommodations</w:t>
      </w:r>
      <w:proofErr w:type="gramEnd"/>
      <w:r w:rsidRPr="0053768B">
        <w:rPr>
          <w:rFonts w:eastAsia="Calibri" w:cstheme="minorHAnsi"/>
        </w:rPr>
        <w:t xml:space="preserve"> possible. </w:t>
      </w:r>
      <w:r w:rsidR="00D43BD0" w:rsidRPr="0053768B">
        <w:rPr>
          <w:rFonts w:eastAsia="Calibri" w:cstheme="minorHAnsi"/>
        </w:rPr>
        <w:t xml:space="preserve">However, we cannot guarantee that all </w:t>
      </w:r>
      <w:proofErr w:type="gramStart"/>
      <w:r w:rsidR="00D43BD0" w:rsidRPr="0053768B">
        <w:rPr>
          <w:rFonts w:eastAsia="Calibri" w:cstheme="minorHAnsi"/>
        </w:rPr>
        <w:t>accommodations</w:t>
      </w:r>
      <w:proofErr w:type="gramEnd"/>
      <w:r w:rsidR="00D43BD0" w:rsidRPr="0053768B">
        <w:rPr>
          <w:rFonts w:eastAsia="Calibri" w:cstheme="minorHAnsi"/>
        </w:rPr>
        <w:t xml:space="preserve"> received at the home school can be similarly met at TAU. </w:t>
      </w:r>
      <w:r w:rsidRPr="0053768B">
        <w:rPr>
          <w:rFonts w:eastAsia="Calibri" w:cstheme="minorHAnsi"/>
        </w:rPr>
        <w:t xml:space="preserve">For example, TAU is usually not able to offer note-taking services in English, private testing rooms, or advance viewing of classroom presentations, exams, or assignments. </w:t>
      </w:r>
    </w:p>
    <w:p w14:paraId="0AD737A2" w14:textId="77777777" w:rsidR="005D638B" w:rsidRPr="0053768B" w:rsidRDefault="005D638B" w:rsidP="005D638B">
      <w:pPr>
        <w:rPr>
          <w:rFonts w:cstheme="minorHAnsi"/>
        </w:rPr>
      </w:pPr>
      <w:r w:rsidRPr="0053768B">
        <w:rPr>
          <w:rFonts w:cstheme="minorHAnsi"/>
        </w:rPr>
        <w:t>It may be an option to provide a student with additional tutoring or support outside the classroom as needed. Students should be aware that this additional support cannot be guaranteed and is based on teacher availability in the subject as well as the specific student level. If available, the cost of additional tutoring or support will be the sole responsibility of the student.</w:t>
      </w:r>
    </w:p>
    <w:p w14:paraId="7D7DECB5" w14:textId="77777777" w:rsidR="005D638B" w:rsidRPr="0053768B" w:rsidRDefault="00B113AC" w:rsidP="005D638B">
      <w:pPr>
        <w:spacing w:after="0"/>
        <w:rPr>
          <w:rFonts w:cstheme="minorHAnsi"/>
          <w:b/>
          <w:bCs/>
        </w:rPr>
      </w:pPr>
      <w:r w:rsidRPr="0053768B">
        <w:rPr>
          <w:rFonts w:cstheme="minorHAnsi"/>
          <w:b/>
          <w:bCs/>
        </w:rPr>
        <w:t>In-C</w:t>
      </w:r>
      <w:r w:rsidR="005D638B" w:rsidRPr="0053768B">
        <w:rPr>
          <w:rFonts w:cstheme="minorHAnsi"/>
          <w:b/>
          <w:bCs/>
        </w:rPr>
        <w:t>lass Exams</w:t>
      </w:r>
    </w:p>
    <w:p w14:paraId="62EED80F" w14:textId="77777777" w:rsidR="005D638B" w:rsidRPr="0053768B" w:rsidRDefault="005D638B" w:rsidP="00B113AC">
      <w:pPr>
        <w:spacing w:after="0"/>
        <w:rPr>
          <w:rFonts w:cstheme="minorHAnsi"/>
        </w:rPr>
      </w:pPr>
      <w:r w:rsidRPr="0053768B">
        <w:rPr>
          <w:rFonts w:cstheme="minorHAnsi"/>
        </w:rPr>
        <w:t xml:space="preserve">TAU does not permit, under any circumstances, </w:t>
      </w:r>
      <w:proofErr w:type="gramStart"/>
      <w:r w:rsidRPr="0053768B">
        <w:rPr>
          <w:rFonts w:cstheme="minorHAnsi"/>
        </w:rPr>
        <w:t>taking</w:t>
      </w:r>
      <w:proofErr w:type="gramEnd"/>
      <w:r w:rsidRPr="0053768B">
        <w:rPr>
          <w:rFonts w:cstheme="minorHAnsi"/>
        </w:rPr>
        <w:t xml:space="preserve"> any in-class (including mid or final) exams early or later than the scheduled exam day. When selecting courses, it is thus very important to note if there is an in-class midterm or final exam as this date/exam cannot be changed. It is also the student’s responsibility to clarify exam dates with the professors at the beginning of a course, with the understanding that not all exam dates can be decided up front as it can sometimes depend on the pace of the course and class learning. It is the </w:t>
      </w:r>
      <w:proofErr w:type="gramStart"/>
      <w:r w:rsidRPr="0053768B">
        <w:rPr>
          <w:rFonts w:cstheme="minorHAnsi"/>
        </w:rPr>
        <w:t>student</w:t>
      </w:r>
      <w:proofErr w:type="gramEnd"/>
      <w:r w:rsidRPr="0053768B">
        <w:rPr>
          <w:rFonts w:cstheme="minorHAnsi"/>
        </w:rPr>
        <w:t xml:space="preserve"> responsibility to plan to be present for all courses including the final day of class for this reason. Early departures from the program are not approved, nor are early or exception in-class exams.</w:t>
      </w:r>
    </w:p>
    <w:p w14:paraId="7FE39E79" w14:textId="77777777" w:rsidR="007922E9" w:rsidRPr="0053768B" w:rsidRDefault="007922E9" w:rsidP="005D638B">
      <w:pPr>
        <w:tabs>
          <w:tab w:val="left" w:pos="5760"/>
          <w:tab w:val="left" w:pos="6096"/>
        </w:tabs>
        <w:spacing w:after="0"/>
        <w:rPr>
          <w:rFonts w:eastAsia="Calibri" w:cstheme="minorHAnsi"/>
          <w:b/>
          <w:bCs/>
        </w:rPr>
      </w:pPr>
    </w:p>
    <w:p w14:paraId="5A437ECB" w14:textId="77777777" w:rsidR="005D638B" w:rsidRPr="0053768B" w:rsidRDefault="005D638B" w:rsidP="005D638B">
      <w:pPr>
        <w:tabs>
          <w:tab w:val="left" w:pos="5760"/>
          <w:tab w:val="left" w:pos="6096"/>
        </w:tabs>
        <w:spacing w:after="0"/>
        <w:rPr>
          <w:rFonts w:eastAsia="Calibri" w:cstheme="minorHAnsi"/>
          <w:b/>
          <w:bCs/>
        </w:rPr>
      </w:pPr>
      <w:r w:rsidRPr="0053768B">
        <w:rPr>
          <w:rFonts w:eastAsia="Calibri" w:cstheme="minorHAnsi"/>
          <w:b/>
          <w:bCs/>
        </w:rPr>
        <w:t>TAU International Absence Policy</w:t>
      </w:r>
    </w:p>
    <w:p w14:paraId="6A640EE1" w14:textId="77777777" w:rsidR="005D638B" w:rsidRPr="0053768B" w:rsidRDefault="005D638B" w:rsidP="005D638B">
      <w:pPr>
        <w:tabs>
          <w:tab w:val="left" w:pos="5760"/>
          <w:tab w:val="left" w:pos="6096"/>
        </w:tabs>
        <w:spacing w:after="0"/>
        <w:rPr>
          <w:rFonts w:eastAsia="Calibri" w:cstheme="minorHAnsi"/>
        </w:rPr>
      </w:pPr>
      <w:r w:rsidRPr="0053768B">
        <w:rPr>
          <w:rFonts w:eastAsia="Calibri" w:cstheme="minorHAnsi"/>
        </w:rPr>
        <w:t xml:space="preserve">Attendance is mandatory in </w:t>
      </w:r>
      <w:proofErr w:type="gramStart"/>
      <w:r w:rsidRPr="0053768B">
        <w:rPr>
          <w:rFonts w:eastAsia="Calibri" w:cstheme="minorHAnsi"/>
        </w:rPr>
        <w:t>all of</w:t>
      </w:r>
      <w:proofErr w:type="gramEnd"/>
      <w:r w:rsidRPr="0053768B">
        <w:rPr>
          <w:rFonts w:eastAsia="Calibri" w:cstheme="minorHAnsi"/>
        </w:rPr>
        <w:t xml:space="preserve"> the courses including Hebrew Ulpan. Faculty can and will take attendance regularly. Missing classes will be reflected in the final grade of the course. Up to three justified and properly documented absences from classes may be accepted (for example: emergency </w:t>
      </w:r>
      <w:proofErr w:type="gramStart"/>
      <w:r w:rsidRPr="0053768B">
        <w:rPr>
          <w:rFonts w:eastAsia="Calibri" w:cstheme="minorHAnsi"/>
        </w:rPr>
        <w:t>matter</w:t>
      </w:r>
      <w:proofErr w:type="gramEnd"/>
      <w:r w:rsidRPr="0053768B">
        <w:rPr>
          <w:rFonts w:eastAsia="Calibri" w:cstheme="minorHAnsi"/>
        </w:rPr>
        <w:t xml:space="preserve"> or illness, both of which will require a doctor's note). Such cases of absence should be reported to the faculty immediately and again, a doctor’s note is required. Teachers </w:t>
      </w:r>
      <w:r w:rsidRPr="0053768B">
        <w:rPr>
          <w:rFonts w:eastAsia="Calibri" w:cstheme="minorHAnsi"/>
        </w:rPr>
        <w:lastRenderedPageBreak/>
        <w:t>are entitled to treat any lateness or absence without documentation as unexcused. Some of our courses such as Service Learning or the Internship Seminar require more practical in-class work; thus, attendance policies may be stricter in some courses and students then must adhere to the stricter attendance policy as outlined by the faculty/syllabus.</w:t>
      </w:r>
    </w:p>
    <w:p w14:paraId="1B9BC57A" w14:textId="77777777" w:rsidR="005D638B" w:rsidRPr="0053768B" w:rsidRDefault="005D638B" w:rsidP="005D638B">
      <w:pPr>
        <w:tabs>
          <w:tab w:val="left" w:pos="5760"/>
          <w:tab w:val="left" w:pos="6096"/>
        </w:tabs>
        <w:spacing w:after="0"/>
        <w:rPr>
          <w:rFonts w:eastAsia="Calibri" w:cstheme="minorHAnsi"/>
        </w:rPr>
      </w:pPr>
    </w:p>
    <w:p w14:paraId="41F396D6" w14:textId="77777777" w:rsidR="005D638B" w:rsidRPr="0053768B" w:rsidRDefault="005D638B" w:rsidP="005D638B">
      <w:pPr>
        <w:tabs>
          <w:tab w:val="left" w:pos="5760"/>
          <w:tab w:val="left" w:pos="6096"/>
        </w:tabs>
        <w:spacing w:after="0"/>
        <w:rPr>
          <w:rFonts w:eastAsia="Calibri" w:cstheme="minorHAnsi"/>
        </w:rPr>
      </w:pPr>
      <w:r w:rsidRPr="0053768B">
        <w:rPr>
          <w:rFonts w:eastAsia="Calibri" w:cstheme="minorHAnsi"/>
        </w:rPr>
        <w:t xml:space="preserve">Students are required to arrive on time for classes. Teachers are entitled to treat any single case of lateness and/or repeated lateness as an unjustified absence. </w:t>
      </w:r>
    </w:p>
    <w:p w14:paraId="38EE6E74" w14:textId="77777777" w:rsidR="005D638B" w:rsidRPr="0053768B" w:rsidRDefault="005D638B" w:rsidP="005D638B">
      <w:pPr>
        <w:tabs>
          <w:tab w:val="left" w:pos="5760"/>
          <w:tab w:val="left" w:pos="6096"/>
        </w:tabs>
        <w:spacing w:after="0"/>
        <w:rPr>
          <w:rFonts w:eastAsia="Calibri" w:cstheme="minorHAnsi"/>
        </w:rPr>
      </w:pPr>
    </w:p>
    <w:p w14:paraId="2E102265" w14:textId="77777777" w:rsidR="00EC72CA" w:rsidRPr="0053768B" w:rsidRDefault="005D638B" w:rsidP="00B113AC">
      <w:pPr>
        <w:tabs>
          <w:tab w:val="left" w:pos="5760"/>
          <w:tab w:val="left" w:pos="6096"/>
        </w:tabs>
        <w:spacing w:after="0"/>
        <w:rPr>
          <w:rFonts w:eastAsia="Calibri" w:cstheme="minorHAnsi"/>
        </w:rPr>
      </w:pPr>
      <w:bookmarkStart w:id="1" w:name="2et92p0" w:colFirst="0" w:colLast="0"/>
      <w:bookmarkStart w:id="2" w:name="_3znysh7" w:colFirst="0" w:colLast="0"/>
      <w:bookmarkEnd w:id="1"/>
      <w:bookmarkEnd w:id="2"/>
      <w:r w:rsidRPr="0053768B">
        <w:rPr>
          <w:rFonts w:eastAsia="Calibri" w:cstheme="minorHAnsi"/>
        </w:rPr>
        <w:t>Please note that according to official TAU Academic Policy, if a student's behavior or attendance during is disagreeable his/her course participation may be cancelled at the discretion of TAU with no due refund.</w:t>
      </w:r>
    </w:p>
    <w:p w14:paraId="3C0456C1" w14:textId="77777777" w:rsidR="00B113AC" w:rsidRPr="0053768B" w:rsidRDefault="00B113AC" w:rsidP="00B113AC">
      <w:pPr>
        <w:tabs>
          <w:tab w:val="left" w:pos="5760"/>
          <w:tab w:val="left" w:pos="6096"/>
        </w:tabs>
        <w:spacing w:after="0"/>
        <w:rPr>
          <w:rFonts w:eastAsia="Calibri" w:cstheme="minorHAnsi"/>
        </w:rPr>
      </w:pPr>
    </w:p>
    <w:p w14:paraId="0D8110B2" w14:textId="77777777" w:rsidR="00B113AC" w:rsidRPr="0053768B" w:rsidRDefault="00B113AC" w:rsidP="00B113AC">
      <w:pPr>
        <w:spacing w:after="0"/>
        <w:rPr>
          <w:b/>
          <w:bCs/>
        </w:rPr>
      </w:pPr>
      <w:r w:rsidRPr="0053768B">
        <w:rPr>
          <w:b/>
          <w:bCs/>
        </w:rPr>
        <w:t>Grade Appeals</w:t>
      </w:r>
    </w:p>
    <w:p w14:paraId="2B6A2354" w14:textId="77777777" w:rsidR="00B113AC" w:rsidRPr="00B113AC" w:rsidRDefault="00B113AC" w:rsidP="00B113AC">
      <w:pPr>
        <w:spacing w:after="0"/>
        <w:rPr>
          <w:b/>
          <w:bCs/>
        </w:rPr>
      </w:pPr>
      <w:r w:rsidRPr="0053768B">
        <w:rPr>
          <w:rFonts w:cstheme="minorHAnsi"/>
        </w:rPr>
        <w:t xml:space="preserve">Students are responsible for checking grades once posted or distributed by faculty. The limited grade appeals window and the detailed procedure for appealing a grade – whether a graded assignment, exam or final grade – is outlined clearly in the policies and procedures in the TAU International Academic Handbook </w:t>
      </w:r>
      <w:hyperlink r:id="rId12" w:history="1">
        <w:r w:rsidRPr="0053768B">
          <w:rPr>
            <w:rStyle w:val="Hyperlink"/>
            <w:rFonts w:cstheme="minorHAnsi"/>
          </w:rPr>
          <w:t>posted here</w:t>
        </w:r>
      </w:hyperlink>
      <w:r w:rsidRPr="0053768B">
        <w:rPr>
          <w:rStyle w:val="Hyperlink"/>
          <w:rFonts w:cstheme="minorHAnsi"/>
        </w:rPr>
        <w:t>.</w:t>
      </w:r>
      <w:r>
        <w:rPr>
          <w:rStyle w:val="Hyperlink"/>
          <w:rFonts w:cstheme="minorHAnsi"/>
        </w:rPr>
        <w:t xml:space="preserve"> </w:t>
      </w:r>
    </w:p>
    <w:sectPr w:rsidR="00B113AC" w:rsidRPr="00B113A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2F59" w14:textId="77777777" w:rsidR="00DE28A4" w:rsidRDefault="00DE28A4">
      <w:pPr>
        <w:spacing w:after="0" w:line="240" w:lineRule="auto"/>
      </w:pPr>
      <w:r>
        <w:separator/>
      </w:r>
    </w:p>
  </w:endnote>
  <w:endnote w:type="continuationSeparator" w:id="0">
    <w:p w14:paraId="5B23C3F2" w14:textId="77777777" w:rsidR="00DE28A4" w:rsidRDefault="00DE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Regular">
    <w:altName w:val="Arial"/>
    <w:panose1 w:val="00000000000000000000"/>
    <w:charset w:val="B1"/>
    <w:family w:val="auto"/>
    <w:notTrueType/>
    <w:pitch w:val="default"/>
    <w:sig w:usb0="00000801" w:usb1="00000000" w:usb2="00000000" w:usb3="00000000" w:csb0="00000020" w:csb1="00000000"/>
  </w:font>
  <w:font w:name="Myriad Pro Light SemiCond">
    <w:altName w:val="Segoe UI Light"/>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3254" w14:textId="77777777" w:rsidR="007F7DBA" w:rsidRDefault="007F7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2FC9" w14:textId="77777777" w:rsidR="007F7DBA" w:rsidRDefault="00EC72CA" w:rsidP="00770828">
    <w:pPr>
      <w:pStyle w:val="Footer"/>
      <w:spacing w:line="276" w:lineRule="auto"/>
      <w:ind w:left="-1152"/>
      <w:rPr>
        <w:rFonts w:ascii="Myriad Pro Light SemiCond" w:hAnsi="Myriad Pro Light SemiCond" w:cstheme="minorHAnsi"/>
        <w:sz w:val="20"/>
        <w:szCs w:val="20"/>
      </w:rPr>
    </w:pPr>
    <w:r>
      <w:rPr>
        <w:rFonts w:ascii="Myriad Pro Light SemiCond" w:hAnsi="Myriad Pro Light SemiCond" w:cstheme="minorHAnsi"/>
        <w:b/>
        <w:bCs/>
        <w:noProof/>
        <w:sz w:val="20"/>
        <w:szCs w:val="20"/>
      </w:rPr>
      <w:drawing>
        <wp:anchor distT="0" distB="0" distL="114300" distR="114300" simplePos="0" relativeHeight="251662336" behindDoc="0" locked="0" layoutInCell="1" allowOverlap="1" wp14:anchorId="6E4254F4" wp14:editId="01C20D0E">
          <wp:simplePos x="0" y="0"/>
          <wp:positionH relativeFrom="column">
            <wp:posOffset>5067300</wp:posOffset>
          </wp:positionH>
          <wp:positionV relativeFrom="paragraph">
            <wp:posOffset>36830</wp:posOffset>
          </wp:positionV>
          <wp:extent cx="533400" cy="533400"/>
          <wp:effectExtent l="0" t="0" r="0" b="0"/>
          <wp:wrapThrough wrapText="bothSides">
            <wp:wrapPolygon edited="0">
              <wp:start x="0" y="0"/>
              <wp:lineTo x="0" y="20829"/>
              <wp:lineTo x="20829" y="20829"/>
              <wp:lineTo x="2082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t_1.png"/>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Pr>
        <w:rFonts w:ascii="Myriad Pro Light SemiCond" w:hAnsi="Myriad Pro Light SemiCond" w:cstheme="minorHAnsi"/>
        <w:noProof/>
        <w:sz w:val="20"/>
        <w:szCs w:val="20"/>
      </w:rPr>
      <w:drawing>
        <wp:anchor distT="0" distB="0" distL="114300" distR="114300" simplePos="0" relativeHeight="251663360" behindDoc="0" locked="0" layoutInCell="1" allowOverlap="1" wp14:anchorId="0C7B81AB" wp14:editId="792A3DB5">
          <wp:simplePos x="0" y="0"/>
          <wp:positionH relativeFrom="column">
            <wp:posOffset>5705475</wp:posOffset>
          </wp:positionH>
          <wp:positionV relativeFrom="paragraph">
            <wp:posOffset>36830</wp:posOffset>
          </wp:positionV>
          <wp:extent cx="547370" cy="552450"/>
          <wp:effectExtent l="0" t="0" r="5080" b="0"/>
          <wp:wrapThrough wrapText="bothSides">
            <wp:wrapPolygon edited="0">
              <wp:start x="0" y="0"/>
              <wp:lineTo x="0" y="20855"/>
              <wp:lineTo x="21049" y="20855"/>
              <wp:lineTo x="2104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t_3.png"/>
                  <pic:cNvPicPr/>
                </pic:nvPicPr>
                <pic:blipFill>
                  <a:blip r:embed="rId2">
                    <a:extLst>
                      <a:ext uri="{28A0092B-C50C-407E-A947-70E740481C1C}">
                        <a14:useLocalDpi xmlns:a14="http://schemas.microsoft.com/office/drawing/2010/main" val="0"/>
                      </a:ext>
                    </a:extLst>
                  </a:blip>
                  <a:stretch>
                    <a:fillRect/>
                  </a:stretch>
                </pic:blipFill>
                <pic:spPr>
                  <a:xfrm>
                    <a:off x="0" y="0"/>
                    <a:ext cx="547370" cy="552450"/>
                  </a:xfrm>
                  <a:prstGeom prst="rect">
                    <a:avLst/>
                  </a:prstGeom>
                </pic:spPr>
              </pic:pic>
            </a:graphicData>
          </a:graphic>
          <wp14:sizeRelH relativeFrom="margin">
            <wp14:pctWidth>0</wp14:pctWidth>
          </wp14:sizeRelH>
          <wp14:sizeRelV relativeFrom="margin">
            <wp14:pctHeight>0</wp14:pctHeight>
          </wp14:sizeRelV>
        </wp:anchor>
      </w:drawing>
    </w:r>
    <w:r>
      <w:rPr>
        <w:rFonts w:ascii="Myriad Pro Light SemiCond" w:hAnsi="Myriad Pro Light SemiCond" w:cstheme="minorHAnsi"/>
        <w:b/>
        <w:bCs/>
        <w:noProof/>
        <w:sz w:val="20"/>
        <w:szCs w:val="20"/>
      </w:rPr>
      <w:drawing>
        <wp:anchor distT="0" distB="0" distL="114300" distR="114300" simplePos="0" relativeHeight="251661312" behindDoc="0" locked="0" layoutInCell="1" allowOverlap="1" wp14:anchorId="648E4F9D" wp14:editId="4291294E">
          <wp:simplePos x="0" y="0"/>
          <wp:positionH relativeFrom="column">
            <wp:posOffset>4418965</wp:posOffset>
          </wp:positionH>
          <wp:positionV relativeFrom="paragraph">
            <wp:posOffset>36830</wp:posOffset>
          </wp:positionV>
          <wp:extent cx="547370" cy="552450"/>
          <wp:effectExtent l="0" t="0" r="5080" b="0"/>
          <wp:wrapThrough wrapText="bothSides">
            <wp:wrapPolygon edited="0">
              <wp:start x="0" y="0"/>
              <wp:lineTo x="0" y="20855"/>
              <wp:lineTo x="21049" y="20855"/>
              <wp:lineTo x="2104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t_2.png"/>
                  <pic:cNvPicPr/>
                </pic:nvPicPr>
                <pic:blipFill>
                  <a:blip r:embed="rId3">
                    <a:extLst>
                      <a:ext uri="{28A0092B-C50C-407E-A947-70E740481C1C}">
                        <a14:useLocalDpi xmlns:a14="http://schemas.microsoft.com/office/drawing/2010/main" val="0"/>
                      </a:ext>
                    </a:extLst>
                  </a:blip>
                  <a:stretch>
                    <a:fillRect/>
                  </a:stretch>
                </pic:blipFill>
                <pic:spPr>
                  <a:xfrm>
                    <a:off x="0" y="0"/>
                    <a:ext cx="547370" cy="552450"/>
                  </a:xfrm>
                  <a:prstGeom prst="rect">
                    <a:avLst/>
                  </a:prstGeom>
                </pic:spPr>
              </pic:pic>
            </a:graphicData>
          </a:graphic>
          <wp14:sizeRelH relativeFrom="margin">
            <wp14:pctWidth>0</wp14:pctWidth>
          </wp14:sizeRelH>
          <wp14:sizeRelV relativeFrom="margin">
            <wp14:pctHeight>0</wp14:pctHeight>
          </wp14:sizeRelV>
        </wp:anchor>
      </w:drawing>
    </w:r>
    <w:r w:rsidRPr="00876DA3">
      <w:rPr>
        <w:rFonts w:ascii="Myriad Pro Light SemiCond" w:hAnsi="Myriad Pro Light SemiCond" w:cstheme="minorHAnsi"/>
        <w:b/>
        <w:bCs/>
        <w:sz w:val="20"/>
        <w:szCs w:val="20"/>
      </w:rPr>
      <w:t>Tel Aviv University International</w:t>
    </w:r>
    <w:r w:rsidRPr="00876DA3">
      <w:rPr>
        <w:rFonts w:ascii="Myriad Pro Light SemiCond" w:hAnsi="Myriad Pro Light SemiCond" w:cstheme="minorHAnsi"/>
        <w:sz w:val="20"/>
        <w:szCs w:val="20"/>
      </w:rPr>
      <w:t xml:space="preserve"> </w:t>
    </w:r>
  </w:p>
  <w:p w14:paraId="6D66F8F9" w14:textId="77777777" w:rsidR="007F7DBA" w:rsidRPr="00876DA3" w:rsidRDefault="00EC72CA" w:rsidP="00770828">
    <w:pPr>
      <w:pStyle w:val="Footer"/>
      <w:spacing w:line="276" w:lineRule="auto"/>
      <w:ind w:left="-1152"/>
      <w:rPr>
        <w:rFonts w:ascii="Myriad Pro Light SemiCond" w:hAnsi="Myriad Pro Light SemiCond" w:cstheme="minorHAnsi"/>
        <w:b/>
        <w:bCs/>
        <w:sz w:val="20"/>
        <w:szCs w:val="20"/>
      </w:rPr>
    </w:pPr>
    <w:r w:rsidRPr="00876DA3">
      <w:rPr>
        <w:rFonts w:ascii="Myriad Pro Light SemiCond" w:hAnsi="Myriad Pro Light SemiCond" w:cstheme="minorHAnsi"/>
        <w:sz w:val="20"/>
        <w:szCs w:val="20"/>
      </w:rPr>
      <w:t xml:space="preserve">Carter Building, Room 108, Tel Aviv 6997801, Israel </w:t>
    </w:r>
  </w:p>
  <w:p w14:paraId="226A6930" w14:textId="77777777" w:rsidR="007F7DBA" w:rsidRPr="00876DA3" w:rsidRDefault="00EC72CA" w:rsidP="00770828">
    <w:pPr>
      <w:pStyle w:val="Footer"/>
      <w:spacing w:line="276" w:lineRule="auto"/>
      <w:ind w:left="-1152"/>
      <w:rPr>
        <w:rFonts w:ascii="Myriad Pro Light SemiCond" w:hAnsi="Myriad Pro Light SemiCond" w:cstheme="minorHAnsi"/>
        <w:b/>
        <w:bCs/>
        <w:sz w:val="20"/>
        <w:szCs w:val="20"/>
      </w:rPr>
    </w:pPr>
    <w:r w:rsidRPr="00C749A1">
      <w:rPr>
        <w:rFonts w:ascii="Myriad Pro Light SemiCond" w:hAnsi="Myriad Pro Light SemiCond" w:cstheme="minorHAnsi"/>
        <w:color w:val="00B0F0"/>
        <w:sz w:val="20"/>
        <w:szCs w:val="20"/>
      </w:rPr>
      <w:t xml:space="preserve">Tel: </w:t>
    </w:r>
    <w:r w:rsidRPr="00876DA3">
      <w:rPr>
        <w:rFonts w:ascii="Myriad Pro Light SemiCond" w:hAnsi="Myriad Pro Light SemiCond" w:cstheme="minorHAnsi"/>
        <w:sz w:val="20"/>
        <w:szCs w:val="20"/>
      </w:rPr>
      <w:t xml:space="preserve">+972-3-640-8118 </w:t>
    </w:r>
    <w:r>
      <w:rPr>
        <w:rFonts w:ascii="Myriad Pro Light SemiCond" w:hAnsi="Myriad Pro Light SemiCond" w:cstheme="minorHAnsi"/>
        <w:sz w:val="20"/>
        <w:szCs w:val="20"/>
      </w:rPr>
      <w:t xml:space="preserve">   </w:t>
    </w:r>
    <w:r w:rsidRPr="00C749A1">
      <w:rPr>
        <w:rFonts w:ascii="Myriad Pro Light SemiCond" w:hAnsi="Myriad Pro Light SemiCond" w:cstheme="minorHAnsi"/>
        <w:color w:val="00B0F0"/>
        <w:sz w:val="20"/>
        <w:szCs w:val="20"/>
      </w:rPr>
      <w:t xml:space="preserve">Fax: </w:t>
    </w:r>
    <w:r w:rsidRPr="00876DA3">
      <w:rPr>
        <w:rFonts w:ascii="Myriad Pro Light SemiCond" w:hAnsi="Myriad Pro Light SemiCond" w:cstheme="minorHAnsi"/>
        <w:sz w:val="20"/>
        <w:szCs w:val="20"/>
      </w:rPr>
      <w:t>+972-3-6409582</w:t>
    </w:r>
  </w:p>
  <w:p w14:paraId="67520C4F" w14:textId="77777777" w:rsidR="007F7DBA" w:rsidRPr="00F00BE5" w:rsidRDefault="00EC72CA" w:rsidP="00770828">
    <w:pPr>
      <w:pStyle w:val="Footer"/>
      <w:spacing w:line="276" w:lineRule="auto"/>
      <w:ind w:left="-1152"/>
      <w:rPr>
        <w:rFonts w:ascii="Myriad Pro Light SemiCond" w:hAnsi="Myriad Pro Light SemiCond" w:cstheme="minorHAnsi"/>
        <w:noProof/>
        <w:sz w:val="20"/>
        <w:szCs w:val="20"/>
      </w:rPr>
    </w:pPr>
    <w:r w:rsidRPr="00876DA3">
      <w:rPr>
        <w:rFonts w:ascii="Myriad Pro Light SemiCond" w:hAnsi="Myriad Pro Light SemiCond" w:cstheme="minorHAnsi"/>
        <w:sz w:val="20"/>
        <w:szCs w:val="20"/>
      </w:rPr>
      <w:t>www.international.tau.ac.il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788B" w14:textId="77777777" w:rsidR="007F7DBA" w:rsidRDefault="007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4424" w14:textId="77777777" w:rsidR="00DE28A4" w:rsidRDefault="00DE28A4">
      <w:pPr>
        <w:spacing w:after="0" w:line="240" w:lineRule="auto"/>
      </w:pPr>
      <w:r>
        <w:separator/>
      </w:r>
    </w:p>
  </w:footnote>
  <w:footnote w:type="continuationSeparator" w:id="0">
    <w:p w14:paraId="5AABB4DA" w14:textId="77777777" w:rsidR="00DE28A4" w:rsidRDefault="00DE2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A0F6" w14:textId="77777777" w:rsidR="007F7DBA" w:rsidRDefault="007F7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234D" w14:textId="77777777" w:rsidR="007F7DBA" w:rsidRDefault="00EC72CA" w:rsidP="00F00BE5">
    <w:pPr>
      <w:pStyle w:val="Header"/>
      <w:tabs>
        <w:tab w:val="clear" w:pos="4320"/>
        <w:tab w:val="clear" w:pos="8640"/>
        <w:tab w:val="left" w:pos="1125"/>
      </w:tabs>
    </w:pPr>
    <w:r>
      <w:rPr>
        <w:noProof/>
      </w:rPr>
      <w:drawing>
        <wp:anchor distT="0" distB="0" distL="114300" distR="114300" simplePos="0" relativeHeight="251660288" behindDoc="0" locked="0" layoutInCell="1" allowOverlap="1" wp14:anchorId="63F91AFA" wp14:editId="668CC428">
          <wp:simplePos x="0" y="0"/>
          <wp:positionH relativeFrom="column">
            <wp:posOffset>4181475</wp:posOffset>
          </wp:positionH>
          <wp:positionV relativeFrom="paragraph">
            <wp:posOffset>114300</wp:posOffset>
          </wp:positionV>
          <wp:extent cx="2143125" cy="102235"/>
          <wp:effectExtent l="0" t="0" r="9525" b="0"/>
          <wp:wrapThrough wrapText="bothSides">
            <wp:wrapPolygon edited="0">
              <wp:start x="4416" y="0"/>
              <wp:lineTo x="0" y="0"/>
              <wp:lineTo x="0" y="16099"/>
              <wp:lineTo x="4416" y="16099"/>
              <wp:lineTo x="16896" y="16099"/>
              <wp:lineTo x="21504" y="16099"/>
              <wp:lineTo x="21504" y="0"/>
              <wp:lineTo x="17280" y="0"/>
              <wp:lineTo x="441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ogan one row.png"/>
                  <pic:cNvPicPr/>
                </pic:nvPicPr>
                <pic:blipFill>
                  <a:blip r:embed="rId1">
                    <a:extLst>
                      <a:ext uri="{28A0092B-C50C-407E-A947-70E740481C1C}">
                        <a14:useLocalDpi xmlns:a14="http://schemas.microsoft.com/office/drawing/2010/main" val="0"/>
                      </a:ext>
                    </a:extLst>
                  </a:blip>
                  <a:stretch>
                    <a:fillRect/>
                  </a:stretch>
                </pic:blipFill>
                <pic:spPr>
                  <a:xfrm>
                    <a:off x="0" y="0"/>
                    <a:ext cx="2143125" cy="1022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14E1C7B" wp14:editId="6CA76E60">
          <wp:simplePos x="0" y="0"/>
          <wp:positionH relativeFrom="column">
            <wp:posOffset>-790575</wp:posOffset>
          </wp:positionH>
          <wp:positionV relativeFrom="paragraph">
            <wp:posOffset>-95885</wp:posOffset>
          </wp:positionV>
          <wp:extent cx="1239520" cy="676275"/>
          <wp:effectExtent l="0" t="0" r="0" b="9525"/>
          <wp:wrapThrough wrapText="bothSides">
            <wp:wrapPolygon edited="0">
              <wp:start x="1328" y="0"/>
              <wp:lineTo x="0" y="2434"/>
              <wp:lineTo x="0" y="13386"/>
              <wp:lineTo x="1328" y="19470"/>
              <wp:lineTo x="2324" y="20687"/>
              <wp:lineTo x="3320" y="21296"/>
              <wp:lineTo x="5975" y="21296"/>
              <wp:lineTo x="18590" y="21296"/>
              <wp:lineTo x="18258" y="19470"/>
              <wp:lineTo x="21246" y="17037"/>
              <wp:lineTo x="21246" y="1825"/>
              <wp:lineTo x="20582" y="0"/>
              <wp:lineTo x="1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U international Logo-01.png"/>
                  <pic:cNvPicPr/>
                </pic:nvPicPr>
                <pic:blipFill>
                  <a:blip r:embed="rId2">
                    <a:extLst>
                      <a:ext uri="{28A0092B-C50C-407E-A947-70E740481C1C}">
                        <a14:useLocalDpi xmlns:a14="http://schemas.microsoft.com/office/drawing/2010/main" val="0"/>
                      </a:ext>
                    </a:extLst>
                  </a:blip>
                  <a:stretch>
                    <a:fillRect/>
                  </a:stretch>
                </pic:blipFill>
                <pic:spPr>
                  <a:xfrm>
                    <a:off x="0" y="0"/>
                    <a:ext cx="1239520" cy="676275"/>
                  </a:xfrm>
                  <a:prstGeom prst="rect">
                    <a:avLst/>
                  </a:prstGeom>
                </pic:spPr>
              </pic:pic>
            </a:graphicData>
          </a:graphic>
          <wp14:sizeRelH relativeFrom="margin">
            <wp14:pctWidth>0</wp14:pctWidth>
          </wp14:sizeRelH>
          <wp14:sizeRelV relativeFrom="margin">
            <wp14:pctHeight>0</wp14:pctHeight>
          </wp14:sizeRelV>
        </wp:anchor>
      </w:drawing>
    </w:r>
    <w:r>
      <w:tab/>
    </w:r>
  </w:p>
  <w:p w14:paraId="48931C16" w14:textId="77777777" w:rsidR="007F7DBA" w:rsidRDefault="007F7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541A" w14:textId="77777777" w:rsidR="007F7DBA" w:rsidRDefault="007F7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E1DCF"/>
    <w:multiLevelType w:val="hybridMultilevel"/>
    <w:tmpl w:val="EDAA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220036"/>
    <w:multiLevelType w:val="hybridMultilevel"/>
    <w:tmpl w:val="A950D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C2B27"/>
    <w:multiLevelType w:val="hybridMultilevel"/>
    <w:tmpl w:val="1E18E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2534371">
    <w:abstractNumId w:val="2"/>
  </w:num>
  <w:num w:numId="2" w16cid:durableId="412706591">
    <w:abstractNumId w:val="1"/>
  </w:num>
  <w:num w:numId="3" w16cid:durableId="170933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CA"/>
    <w:rsid w:val="0005759A"/>
    <w:rsid w:val="00057EB4"/>
    <w:rsid w:val="0008258B"/>
    <w:rsid w:val="000C1330"/>
    <w:rsid w:val="000C42C0"/>
    <w:rsid w:val="000D0204"/>
    <w:rsid w:val="000D0A1D"/>
    <w:rsid w:val="001021BE"/>
    <w:rsid w:val="0012714F"/>
    <w:rsid w:val="00137600"/>
    <w:rsid w:val="00166333"/>
    <w:rsid w:val="00172E43"/>
    <w:rsid w:val="001E7DB2"/>
    <w:rsid w:val="00230D75"/>
    <w:rsid w:val="00252060"/>
    <w:rsid w:val="0025675E"/>
    <w:rsid w:val="0025756B"/>
    <w:rsid w:val="0028453A"/>
    <w:rsid w:val="002A358C"/>
    <w:rsid w:val="002E353B"/>
    <w:rsid w:val="002F2A8C"/>
    <w:rsid w:val="00301D1B"/>
    <w:rsid w:val="00322C0B"/>
    <w:rsid w:val="00356477"/>
    <w:rsid w:val="003937D1"/>
    <w:rsid w:val="00394736"/>
    <w:rsid w:val="003A32AD"/>
    <w:rsid w:val="003B36D6"/>
    <w:rsid w:val="003D6955"/>
    <w:rsid w:val="00490857"/>
    <w:rsid w:val="004A2E19"/>
    <w:rsid w:val="004A57E6"/>
    <w:rsid w:val="004C1DE5"/>
    <w:rsid w:val="004E0C97"/>
    <w:rsid w:val="004E7071"/>
    <w:rsid w:val="005042F7"/>
    <w:rsid w:val="0051677A"/>
    <w:rsid w:val="0053768B"/>
    <w:rsid w:val="005466C4"/>
    <w:rsid w:val="005A2D47"/>
    <w:rsid w:val="005D638B"/>
    <w:rsid w:val="005E042A"/>
    <w:rsid w:val="00625B4C"/>
    <w:rsid w:val="00640CB4"/>
    <w:rsid w:val="00651E8C"/>
    <w:rsid w:val="006838BA"/>
    <w:rsid w:val="00697381"/>
    <w:rsid w:val="006E0FCE"/>
    <w:rsid w:val="006F3BFE"/>
    <w:rsid w:val="00737FF4"/>
    <w:rsid w:val="007922E9"/>
    <w:rsid w:val="007C09A8"/>
    <w:rsid w:val="007E25A1"/>
    <w:rsid w:val="007F7DBA"/>
    <w:rsid w:val="0080029B"/>
    <w:rsid w:val="00802B51"/>
    <w:rsid w:val="00804702"/>
    <w:rsid w:val="00805D1F"/>
    <w:rsid w:val="00822E8B"/>
    <w:rsid w:val="0084635B"/>
    <w:rsid w:val="008859DA"/>
    <w:rsid w:val="008F7222"/>
    <w:rsid w:val="00943A79"/>
    <w:rsid w:val="00951E16"/>
    <w:rsid w:val="009C6036"/>
    <w:rsid w:val="009D58D3"/>
    <w:rsid w:val="009D6EAF"/>
    <w:rsid w:val="009E45FB"/>
    <w:rsid w:val="009F7228"/>
    <w:rsid w:val="00A11DC8"/>
    <w:rsid w:val="00A64033"/>
    <w:rsid w:val="00AF349B"/>
    <w:rsid w:val="00B113AC"/>
    <w:rsid w:val="00B3260E"/>
    <w:rsid w:val="00BA465C"/>
    <w:rsid w:val="00BE7639"/>
    <w:rsid w:val="00C301BF"/>
    <w:rsid w:val="00C6125F"/>
    <w:rsid w:val="00C73B81"/>
    <w:rsid w:val="00C770E5"/>
    <w:rsid w:val="00CB5075"/>
    <w:rsid w:val="00CC3A4A"/>
    <w:rsid w:val="00CD4D08"/>
    <w:rsid w:val="00D126FC"/>
    <w:rsid w:val="00D43BD0"/>
    <w:rsid w:val="00D44D5C"/>
    <w:rsid w:val="00DA3919"/>
    <w:rsid w:val="00DB1E55"/>
    <w:rsid w:val="00DB4433"/>
    <w:rsid w:val="00DC6A00"/>
    <w:rsid w:val="00DE28A4"/>
    <w:rsid w:val="00E260F5"/>
    <w:rsid w:val="00E373A6"/>
    <w:rsid w:val="00E65623"/>
    <w:rsid w:val="00EC72CA"/>
    <w:rsid w:val="00F0309C"/>
    <w:rsid w:val="00F24E39"/>
    <w:rsid w:val="00F32DED"/>
    <w:rsid w:val="00F463D2"/>
    <w:rsid w:val="00FF07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D47B"/>
  <w15:chartTrackingRefBased/>
  <w15:docId w15:val="{9EA8E012-E11E-4498-A132-7786024F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2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2CA"/>
  </w:style>
  <w:style w:type="paragraph" w:styleId="Footer">
    <w:name w:val="footer"/>
    <w:basedOn w:val="Normal"/>
    <w:link w:val="FooterChar"/>
    <w:uiPriority w:val="99"/>
    <w:unhideWhenUsed/>
    <w:rsid w:val="00EC72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2CA"/>
  </w:style>
  <w:style w:type="character" w:styleId="Hyperlink">
    <w:name w:val="Hyperlink"/>
    <w:basedOn w:val="DefaultParagraphFont"/>
    <w:uiPriority w:val="99"/>
    <w:unhideWhenUsed/>
    <w:rsid w:val="005D638B"/>
    <w:rPr>
      <w:color w:val="0563C1" w:themeColor="hyperlink"/>
      <w:u w:val="single"/>
    </w:rPr>
  </w:style>
  <w:style w:type="paragraph" w:styleId="ListParagraph">
    <w:name w:val="List Paragraph"/>
    <w:basedOn w:val="Normal"/>
    <w:uiPriority w:val="34"/>
    <w:qFormat/>
    <w:rsid w:val="005D638B"/>
    <w:pPr>
      <w:spacing w:after="200" w:line="276" w:lineRule="auto"/>
      <w:ind w:left="720"/>
      <w:contextualSpacing/>
    </w:pPr>
    <w:rPr>
      <w:lang w:val="en-GB"/>
    </w:rPr>
  </w:style>
  <w:style w:type="character" w:styleId="UnresolvedMention">
    <w:name w:val="Unresolved Mention"/>
    <w:basedOn w:val="DefaultParagraphFont"/>
    <w:uiPriority w:val="99"/>
    <w:semiHidden/>
    <w:unhideWhenUsed/>
    <w:rsid w:val="009D58D3"/>
    <w:rPr>
      <w:color w:val="605E5C"/>
      <w:shd w:val="clear" w:color="auto" w:fill="E1DFDD"/>
    </w:rPr>
  </w:style>
  <w:style w:type="character" w:customStyle="1" w:styleId="ref-title">
    <w:name w:val="ref-title"/>
    <w:basedOn w:val="DefaultParagraphFont"/>
    <w:rsid w:val="009D58D3"/>
  </w:style>
  <w:style w:type="character" w:customStyle="1" w:styleId="ref-journal">
    <w:name w:val="ref-journal"/>
    <w:basedOn w:val="DefaultParagraphFont"/>
    <w:rsid w:val="009D58D3"/>
  </w:style>
  <w:style w:type="character" w:customStyle="1" w:styleId="ref-vol">
    <w:name w:val="ref-vol"/>
    <w:basedOn w:val="DefaultParagraphFont"/>
    <w:rsid w:val="009D58D3"/>
  </w:style>
  <w:style w:type="character" w:customStyle="1" w:styleId="ref-iss">
    <w:name w:val="ref-iss"/>
    <w:basedOn w:val="DefaultParagraphFont"/>
    <w:rsid w:val="009D5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705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lan.aviram@gmail.com" TargetMode="External"/><Relationship Id="rId12" Type="http://schemas.openxmlformats.org/officeDocument/2006/relationships/hyperlink" Target="https://international.tau.ac.il/academic_boar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tional.tau.ac.il/academic_boar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77/1097184X25132767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71/journal.pone.0323783"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12033</Characters>
  <Application>Microsoft Office Word</Application>
  <DocSecurity>0</DocSecurity>
  <Lines>100</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Rubin</dc:creator>
  <cp:keywords/>
  <dc:description/>
  <cp:lastModifiedBy>Yael Gazit</cp:lastModifiedBy>
  <cp:revision>2</cp:revision>
  <cp:lastPrinted>2021-10-10T19:08:00Z</cp:lastPrinted>
  <dcterms:created xsi:type="dcterms:W3CDTF">2026-03-15T13:22:00Z</dcterms:created>
  <dcterms:modified xsi:type="dcterms:W3CDTF">2026-03-15T13:22:00Z</dcterms:modified>
</cp:coreProperties>
</file>